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920101" w:rsidRPr="00B57B36" w14:paraId="6E1ABB52" w14:textId="77777777" w:rsidTr="005D1460">
        <w:trPr>
          <w:trHeight w:val="852"/>
          <w:jc w:val="center"/>
        </w:trPr>
        <w:tc>
          <w:tcPr>
            <w:tcW w:w="6946" w:type="dxa"/>
            <w:vMerge w:val="restart"/>
            <w:tcBorders>
              <w:right w:val="single" w:sz="4" w:space="0" w:color="auto"/>
            </w:tcBorders>
          </w:tcPr>
          <w:p w14:paraId="1899A5C2" w14:textId="77777777" w:rsidR="00920101" w:rsidRPr="00B57B36" w:rsidRDefault="00920101" w:rsidP="005D1460">
            <w:pPr>
              <w:tabs>
                <w:tab w:val="left" w:pos="-108"/>
              </w:tabs>
              <w:ind w:left="-108"/>
              <w:rPr>
                <w:rFonts w:cs="Arial"/>
                <w:b/>
                <w:bCs/>
                <w:i/>
                <w:iCs/>
                <w:color w:val="000066"/>
                <w:sz w:val="12"/>
                <w:szCs w:val="12"/>
                <w:lang w:eastAsia="it-IT"/>
              </w:rPr>
            </w:pPr>
            <w:r w:rsidRPr="00B57B36">
              <w:rPr>
                <w:rFonts w:ascii="AdvP6960" w:hAnsi="AdvP6960" w:cs="AdvP6960"/>
                <w:noProof/>
                <w:color w:val="241F20"/>
                <w:szCs w:val="18"/>
                <w:lang w:eastAsia="en-GB"/>
              </w:rPr>
              <w:drawing>
                <wp:inline distT="0" distB="0" distL="0" distR="0" wp14:anchorId="257C8A74" wp14:editId="35D85DE8">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5978B5D4" w14:textId="77777777" w:rsidR="00920101" w:rsidRPr="00B57B36" w:rsidRDefault="00920101" w:rsidP="005D1460">
            <w:pPr>
              <w:tabs>
                <w:tab w:val="left" w:pos="-108"/>
              </w:tabs>
              <w:ind w:left="-108"/>
              <w:rPr>
                <w:rFonts w:cs="Arial"/>
                <w:b/>
                <w:bCs/>
                <w:i/>
                <w:iCs/>
                <w:color w:val="000066"/>
                <w:lang w:eastAsia="it-IT"/>
              </w:rPr>
            </w:pPr>
            <w:r w:rsidRPr="00B57B36">
              <w:rPr>
                <w:rFonts w:cs="Arial"/>
                <w:b/>
                <w:bCs/>
                <w:i/>
                <w:iCs/>
                <w:color w:val="000066"/>
                <w:lang w:eastAsia="it-IT"/>
              </w:rPr>
              <w:t xml:space="preserve">VOL. </w:t>
            </w:r>
            <w:r>
              <w:rPr>
                <w:rFonts w:cs="Arial"/>
                <w:b/>
                <w:bCs/>
                <w:i/>
                <w:iCs/>
                <w:color w:val="000066"/>
                <w:lang w:eastAsia="it-IT"/>
              </w:rPr>
              <w:t xml:space="preserve"> </w:t>
            </w:r>
            <w:proofErr w:type="gramStart"/>
            <w:r>
              <w:rPr>
                <w:rFonts w:cs="Arial"/>
                <w:b/>
                <w:bCs/>
                <w:i/>
                <w:iCs/>
                <w:color w:val="000066"/>
                <w:lang w:eastAsia="it-IT"/>
              </w:rPr>
              <w:t xml:space="preserve">  ,</w:t>
            </w:r>
            <w:proofErr w:type="gramEnd"/>
            <w:r>
              <w:rPr>
                <w:rFonts w:cs="Arial"/>
                <w:b/>
                <w:bCs/>
                <w:i/>
                <w:iCs/>
                <w:color w:val="000066"/>
                <w:lang w:eastAsia="it-IT"/>
              </w:rPr>
              <w:t xml:space="preserve"> 2023</w:t>
            </w:r>
          </w:p>
        </w:tc>
        <w:tc>
          <w:tcPr>
            <w:tcW w:w="1843" w:type="dxa"/>
            <w:tcBorders>
              <w:left w:val="single" w:sz="4" w:space="0" w:color="auto"/>
              <w:bottom w:val="nil"/>
              <w:right w:val="single" w:sz="4" w:space="0" w:color="auto"/>
            </w:tcBorders>
          </w:tcPr>
          <w:p w14:paraId="06E46242" w14:textId="77777777" w:rsidR="00920101" w:rsidRPr="00B57B36" w:rsidRDefault="00920101" w:rsidP="005D1460">
            <w:pPr>
              <w:spacing w:line="140" w:lineRule="atLeast"/>
              <w:jc w:val="right"/>
              <w:rPr>
                <w:rFonts w:cs="Arial"/>
                <w:sz w:val="14"/>
                <w:szCs w:val="14"/>
              </w:rPr>
            </w:pPr>
            <w:r w:rsidRPr="00B57B36">
              <w:rPr>
                <w:rFonts w:cs="Arial"/>
                <w:sz w:val="14"/>
                <w:szCs w:val="14"/>
              </w:rPr>
              <w:t>A publication of</w:t>
            </w:r>
          </w:p>
          <w:p w14:paraId="029A2219" w14:textId="77777777" w:rsidR="00920101" w:rsidRPr="00B57B36" w:rsidRDefault="00920101" w:rsidP="005D1460">
            <w:pPr>
              <w:jc w:val="right"/>
            </w:pPr>
            <w:r w:rsidRPr="00B57B36">
              <w:rPr>
                <w:noProof/>
                <w:lang w:eastAsia="en-GB"/>
              </w:rPr>
              <w:drawing>
                <wp:inline distT="0" distB="0" distL="0" distR="0" wp14:anchorId="489757FC" wp14:editId="71173C0E">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920101" w:rsidRPr="00B57B36" w14:paraId="3E86BB5D" w14:textId="77777777" w:rsidTr="005D1460">
        <w:trPr>
          <w:trHeight w:val="567"/>
          <w:jc w:val="center"/>
        </w:trPr>
        <w:tc>
          <w:tcPr>
            <w:tcW w:w="6946" w:type="dxa"/>
            <w:vMerge/>
            <w:tcBorders>
              <w:right w:val="single" w:sz="4" w:space="0" w:color="auto"/>
            </w:tcBorders>
          </w:tcPr>
          <w:p w14:paraId="1291395F" w14:textId="77777777" w:rsidR="00920101" w:rsidRPr="00B57B36" w:rsidRDefault="00920101" w:rsidP="005D1460">
            <w:pPr>
              <w:tabs>
                <w:tab w:val="left" w:pos="-108"/>
              </w:tabs>
            </w:pPr>
          </w:p>
        </w:tc>
        <w:tc>
          <w:tcPr>
            <w:tcW w:w="1843" w:type="dxa"/>
            <w:tcBorders>
              <w:left w:val="single" w:sz="4" w:space="0" w:color="auto"/>
              <w:bottom w:val="nil"/>
              <w:right w:val="single" w:sz="4" w:space="0" w:color="auto"/>
            </w:tcBorders>
          </w:tcPr>
          <w:p w14:paraId="6852B060" w14:textId="77777777" w:rsidR="00920101" w:rsidRPr="00B57B36" w:rsidRDefault="00920101" w:rsidP="005D1460">
            <w:pPr>
              <w:spacing w:line="140" w:lineRule="atLeast"/>
              <w:jc w:val="right"/>
              <w:rPr>
                <w:rFonts w:cs="Arial"/>
                <w:sz w:val="14"/>
                <w:szCs w:val="14"/>
              </w:rPr>
            </w:pPr>
            <w:r w:rsidRPr="00B57B36">
              <w:rPr>
                <w:rFonts w:cs="Arial"/>
                <w:sz w:val="14"/>
                <w:szCs w:val="14"/>
              </w:rPr>
              <w:t>The Italian Association</w:t>
            </w:r>
          </w:p>
          <w:p w14:paraId="47453BED" w14:textId="77777777" w:rsidR="00920101" w:rsidRPr="00B57B36" w:rsidRDefault="00920101" w:rsidP="005D1460">
            <w:pPr>
              <w:spacing w:line="140" w:lineRule="atLeast"/>
              <w:jc w:val="right"/>
              <w:rPr>
                <w:rFonts w:cs="Arial"/>
                <w:sz w:val="14"/>
                <w:szCs w:val="14"/>
              </w:rPr>
            </w:pPr>
            <w:r w:rsidRPr="00B57B36">
              <w:rPr>
                <w:rFonts w:cs="Arial"/>
                <w:sz w:val="14"/>
                <w:szCs w:val="14"/>
              </w:rPr>
              <w:t>of Chemical Engineering</w:t>
            </w:r>
          </w:p>
          <w:p w14:paraId="4618BFE6" w14:textId="77777777" w:rsidR="00920101" w:rsidRPr="000D0268" w:rsidRDefault="00920101" w:rsidP="005D1460">
            <w:pPr>
              <w:spacing w:line="140" w:lineRule="atLeast"/>
              <w:jc w:val="right"/>
              <w:rPr>
                <w:rFonts w:cs="Arial"/>
                <w:sz w:val="13"/>
                <w:szCs w:val="13"/>
              </w:rPr>
            </w:pPr>
            <w:r w:rsidRPr="000D0268">
              <w:rPr>
                <w:rFonts w:cs="Arial"/>
                <w:sz w:val="13"/>
                <w:szCs w:val="13"/>
              </w:rPr>
              <w:t>Online at www.cetjournal.it</w:t>
            </w:r>
          </w:p>
        </w:tc>
      </w:tr>
      <w:tr w:rsidR="00920101" w:rsidRPr="00B57B36" w14:paraId="69B5CC6E" w14:textId="77777777" w:rsidTr="005D1460">
        <w:trPr>
          <w:trHeight w:val="68"/>
          <w:jc w:val="center"/>
        </w:trPr>
        <w:tc>
          <w:tcPr>
            <w:tcW w:w="8789" w:type="dxa"/>
            <w:gridSpan w:val="2"/>
          </w:tcPr>
          <w:p w14:paraId="51CEAC56" w14:textId="77777777" w:rsidR="00920101" w:rsidRPr="00F93EDF" w:rsidRDefault="00920101" w:rsidP="005D1460">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r w:rsidRPr="00293D18">
              <w:rPr>
                <w:rFonts w:ascii="Tahoma" w:hAnsi="Tahoma" w:cs="Tahoma"/>
                <w:sz w:val="14"/>
                <w:szCs w:val="14"/>
              </w:rPr>
              <w:t xml:space="preserve">Sauro Pierucci, </w:t>
            </w:r>
            <w:r w:rsidRPr="00293D18">
              <w:rPr>
                <w:rFonts w:ascii="Tahoma" w:hAnsi="Tahoma" w:cs="Tahoma"/>
                <w:sz w:val="14"/>
                <w:szCs w:val="14"/>
                <w:shd w:val="clear" w:color="auto" w:fill="FFFFFF"/>
              </w:rPr>
              <w:t xml:space="preserve">Jiří Jaromír </w:t>
            </w:r>
            <w:proofErr w:type="spellStart"/>
            <w:r w:rsidRPr="00293D18">
              <w:rPr>
                <w:rFonts w:ascii="Tahoma" w:hAnsi="Tahoma" w:cs="Tahoma"/>
                <w:sz w:val="14"/>
                <w:szCs w:val="14"/>
                <w:shd w:val="clear" w:color="auto" w:fill="FFFFFF"/>
              </w:rPr>
              <w:t>Klemeš</w:t>
            </w:r>
            <w:proofErr w:type="spellEnd"/>
          </w:p>
          <w:p w14:paraId="00B63903" w14:textId="77777777" w:rsidR="00920101" w:rsidRPr="00B57B36" w:rsidRDefault="00920101" w:rsidP="005D1460">
            <w:pPr>
              <w:tabs>
                <w:tab w:val="left" w:pos="-108"/>
              </w:tabs>
              <w:spacing w:line="140" w:lineRule="atLeast"/>
              <w:ind w:left="-107"/>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7E707578" w14:textId="77777777" w:rsidR="00920101" w:rsidRPr="00B57B36" w:rsidRDefault="00920101" w:rsidP="00920101">
      <w:pPr>
        <w:pStyle w:val="CETTitle"/>
      </w:pPr>
      <w:r>
        <w:t xml:space="preserve">Recycling Single Use Plastics to Useful Chemical Intermediates </w:t>
      </w:r>
    </w:p>
    <w:p w14:paraId="3B577C46" w14:textId="77777777" w:rsidR="00920101" w:rsidRPr="00B57B36" w:rsidRDefault="00920101" w:rsidP="00920101">
      <w:pPr>
        <w:pStyle w:val="CETAuthors"/>
        <w:jc w:val="left"/>
      </w:pPr>
      <w:r>
        <w:t>Nasser J Alqahtani</w:t>
      </w:r>
      <w:r w:rsidRPr="00B57B36">
        <w:t xml:space="preserve">, </w:t>
      </w:r>
      <w:r>
        <w:t>Edidiong Asuquo, Christina C</w:t>
      </w:r>
      <w:r w:rsidRPr="00935768">
        <w:t>haralambous</w:t>
      </w:r>
      <w:r>
        <w:t>, Arthur Garforth</w:t>
      </w:r>
      <w:r w:rsidRPr="00B57B36">
        <w:rPr>
          <w:vertAlign w:val="superscript"/>
        </w:rPr>
        <w:t>,</w:t>
      </w:r>
      <w:r w:rsidRPr="00B57B36">
        <w:t>*</w:t>
      </w:r>
    </w:p>
    <w:p w14:paraId="264750B0" w14:textId="77777777" w:rsidR="00920101" w:rsidRPr="00B57B36" w:rsidRDefault="00920101" w:rsidP="00920101">
      <w:pPr>
        <w:pStyle w:val="CETAddress"/>
      </w:pPr>
      <w:r w:rsidRPr="0065245B">
        <w:t>Department of Chemical Engineering, University of Manchester, Oxford Rd, M1 39PL</w:t>
      </w:r>
    </w:p>
    <w:p w14:paraId="18EF3FD0" w14:textId="77777777" w:rsidR="00920101" w:rsidRPr="00B57B36" w:rsidRDefault="00920101" w:rsidP="00920101">
      <w:pPr>
        <w:pStyle w:val="CETemail"/>
      </w:pPr>
      <w:r>
        <w:t>*</w:t>
      </w:r>
      <w:r w:rsidRPr="0065245B">
        <w:t>arthur.garforth@manchester.ac.uk</w:t>
      </w:r>
    </w:p>
    <w:p w14:paraId="2D6FDA2B" w14:textId="4273E32F" w:rsidR="00920101" w:rsidRDefault="00920101" w:rsidP="00920101">
      <w:pPr>
        <w:pStyle w:val="CETBodytext"/>
      </w:pPr>
      <w:bookmarkStart w:id="0" w:name="_Hlk495475023"/>
      <w:r w:rsidRPr="0065245B">
        <w:rPr>
          <w:lang w:val="en-GB"/>
        </w:rPr>
        <w:t>Polymers are extremely stable and with rising landfill costs, forthcoming extended producer responsibility tax and the drive towards a circular economy, there is an increasing need to redirect polymer waste from landfill/energy recovery towards enhanced recovery of the raw materials</w:t>
      </w:r>
      <w:r>
        <w:rPr>
          <w:lang w:val="en-GB"/>
        </w:rPr>
        <w:t>/feedstocks</w:t>
      </w:r>
      <w:r w:rsidRPr="0065245B">
        <w:rPr>
          <w:lang w:val="en-GB"/>
        </w:rPr>
        <w:t>. The COVID pandemic has introduced a significant amount of personal protective equipment (PPE) single use plastics in the form of facemasks</w:t>
      </w:r>
      <w:r>
        <w:rPr>
          <w:lang w:val="en-GB"/>
        </w:rPr>
        <w:t xml:space="preserve"> into our global ecosystem</w:t>
      </w:r>
      <w:r w:rsidRPr="0065245B">
        <w:rPr>
          <w:lang w:val="en-GB"/>
        </w:rPr>
        <w:t>, which is increasingly becoming an environmental issue due to their</w:t>
      </w:r>
      <w:r>
        <w:rPr>
          <w:lang w:val="en-GB"/>
        </w:rPr>
        <w:t xml:space="preserve"> </w:t>
      </w:r>
      <w:r w:rsidRPr="0065245B">
        <w:rPr>
          <w:lang w:val="en-GB"/>
        </w:rPr>
        <w:t>increasing</w:t>
      </w:r>
      <w:r>
        <w:rPr>
          <w:lang w:val="en-GB"/>
        </w:rPr>
        <w:t xml:space="preserve"> non-biodegradability and </w:t>
      </w:r>
      <w:r w:rsidRPr="0065245B">
        <w:rPr>
          <w:lang w:val="en-GB"/>
        </w:rPr>
        <w:t>w</w:t>
      </w:r>
      <w:r>
        <w:rPr>
          <w:lang w:val="en-GB"/>
        </w:rPr>
        <w:t xml:space="preserve">ith declining </w:t>
      </w:r>
      <w:r w:rsidRPr="0065245B">
        <w:rPr>
          <w:lang w:val="en-GB"/>
        </w:rPr>
        <w:t>landfill capacit</w:t>
      </w:r>
      <w:r>
        <w:rPr>
          <w:lang w:val="en-GB"/>
        </w:rPr>
        <w:t>y</w:t>
      </w:r>
      <w:r w:rsidRPr="0065245B">
        <w:rPr>
          <w:lang w:val="en-GB"/>
        </w:rPr>
        <w:t xml:space="preserve">, </w:t>
      </w:r>
      <w:r>
        <w:rPr>
          <w:lang w:val="en-GB"/>
        </w:rPr>
        <w:t>this</w:t>
      </w:r>
      <w:r w:rsidRPr="0065245B">
        <w:rPr>
          <w:lang w:val="en-GB"/>
        </w:rPr>
        <w:t xml:space="preserve"> mak</w:t>
      </w:r>
      <w:r>
        <w:rPr>
          <w:lang w:val="en-GB"/>
        </w:rPr>
        <w:t>es plastic</w:t>
      </w:r>
      <w:r w:rsidRPr="0065245B">
        <w:rPr>
          <w:lang w:val="en-GB"/>
        </w:rPr>
        <w:t xml:space="preserve"> recycling </w:t>
      </w:r>
      <w:r>
        <w:rPr>
          <w:lang w:val="en-GB"/>
        </w:rPr>
        <w:t>a necessity</w:t>
      </w:r>
      <w:r w:rsidRPr="0065245B">
        <w:rPr>
          <w:lang w:val="en-GB"/>
        </w:rPr>
        <w:t>. Chemical recycling stands out as a viable method of converting plastic waste into valuable products, especially liquid fuels (naphtha) and liquefied petroleum gas (LPG).</w:t>
      </w:r>
      <w:r w:rsidRPr="004B3329">
        <w:rPr>
          <w:lang w:val="en-GB"/>
        </w:rPr>
        <w:t xml:space="preserve"> Chemical recycling of plastics can also serve as a route to introduce circularity into the plastic supply chain</w:t>
      </w:r>
      <w:r w:rsidRPr="0065245B">
        <w:rPr>
          <w:lang w:val="en-GB"/>
        </w:rPr>
        <w:t>. This research study is focused on investigating the use of heterogeneous catalysts (zeolites Beta and USY) for the conversion of polypropylene</w:t>
      </w:r>
      <w:r>
        <w:rPr>
          <w:lang w:val="en-GB"/>
        </w:rPr>
        <w:t xml:space="preserve"> (PP)</w:t>
      </w:r>
      <w:r w:rsidRPr="0065245B">
        <w:rPr>
          <w:lang w:val="en-GB"/>
        </w:rPr>
        <w:t xml:space="preserve"> and single use facemasks into chemical feedstock using hydrocracking. Catalytic hydrocracking reactions</w:t>
      </w:r>
      <w:r>
        <w:rPr>
          <w:lang w:val="en-GB"/>
        </w:rPr>
        <w:t xml:space="preserve"> were</w:t>
      </w:r>
      <w:r w:rsidRPr="0065245B">
        <w:rPr>
          <w:lang w:val="en-GB"/>
        </w:rPr>
        <w:t xml:space="preserve"> carried out between </w:t>
      </w:r>
      <w:r>
        <w:rPr>
          <w:lang w:val="en-GB"/>
        </w:rPr>
        <w:t>270</w:t>
      </w:r>
      <w:r w:rsidRPr="0065245B">
        <w:rPr>
          <w:lang w:val="en-GB"/>
        </w:rPr>
        <w:t>-330 ̊C at 20 bar hydrogen pressure for 30-60 minutes</w:t>
      </w:r>
      <w:r>
        <w:rPr>
          <w:lang w:val="en-GB"/>
        </w:rPr>
        <w:t>. The results</w:t>
      </w:r>
      <w:r w:rsidRPr="0065245B">
        <w:rPr>
          <w:lang w:val="en-GB"/>
        </w:rPr>
        <w:t xml:space="preserve"> indicate</w:t>
      </w:r>
      <w:r>
        <w:rPr>
          <w:lang w:val="en-GB"/>
        </w:rPr>
        <w:t>s that</w:t>
      </w:r>
      <w:r w:rsidRPr="0065245B">
        <w:rPr>
          <w:lang w:val="en-GB"/>
        </w:rPr>
        <w:t xml:space="preserve"> USY</w:t>
      </w:r>
      <w:r>
        <w:rPr>
          <w:lang w:val="en-GB"/>
        </w:rPr>
        <w:t xml:space="preserve"> zeolite</w:t>
      </w:r>
      <w:r w:rsidRPr="0065245B">
        <w:rPr>
          <w:lang w:val="en-GB"/>
        </w:rPr>
        <w:t xml:space="preserve"> was more effective than zeolite beta</w:t>
      </w:r>
      <w:r>
        <w:rPr>
          <w:lang w:val="en-GB"/>
        </w:rPr>
        <w:t xml:space="preserve"> due to its higher selectivity to liquid products</w:t>
      </w:r>
      <w:r w:rsidRPr="0065245B">
        <w:rPr>
          <w:lang w:val="en-GB"/>
        </w:rPr>
        <w:t>.</w:t>
      </w:r>
      <w:bookmarkEnd w:id="0"/>
      <w:r>
        <w:rPr>
          <w:lang w:val="en-GB"/>
        </w:rPr>
        <w:t xml:space="preserve"> Moreover, t</w:t>
      </w:r>
      <w:r w:rsidRPr="00A461B9">
        <w:rPr>
          <w:lang w:val="en-GB"/>
        </w:rPr>
        <w:t>he</w:t>
      </w:r>
      <w:r>
        <w:rPr>
          <w:lang w:val="en-GB"/>
        </w:rPr>
        <w:t xml:space="preserve"> </w:t>
      </w:r>
      <w:r w:rsidRPr="00A461B9">
        <w:rPr>
          <w:lang w:val="en-GB"/>
        </w:rPr>
        <w:t>presence of highly acidic catalysts can be used to suitably recycle polymers into useful hydrocarbons with C</w:t>
      </w:r>
      <w:r>
        <w:rPr>
          <w:vertAlign w:val="subscript"/>
          <w:lang w:val="en-GB"/>
        </w:rPr>
        <w:t>3</w:t>
      </w:r>
      <w:r w:rsidRPr="00A461B9">
        <w:rPr>
          <w:lang w:val="en-GB"/>
        </w:rPr>
        <w:t>-C</w:t>
      </w:r>
      <w:r w:rsidRPr="00A461B9">
        <w:rPr>
          <w:vertAlign w:val="subscript"/>
          <w:lang w:val="en-GB"/>
        </w:rPr>
        <w:t>16</w:t>
      </w:r>
      <w:r w:rsidRPr="00A461B9">
        <w:rPr>
          <w:lang w:val="en-GB"/>
        </w:rPr>
        <w:t xml:space="preserve"> product </w:t>
      </w:r>
      <w:r w:rsidR="005D47C0" w:rsidRPr="00A461B9">
        <w:rPr>
          <w:lang w:val="en-GB"/>
        </w:rPr>
        <w:t>distributions.</w:t>
      </w:r>
    </w:p>
    <w:p w14:paraId="371161AA" w14:textId="77777777" w:rsidR="00920101" w:rsidRPr="00B17F83" w:rsidRDefault="00920101" w:rsidP="00920101">
      <w:pPr>
        <w:pStyle w:val="CETHeading1"/>
        <w:rPr>
          <w:color w:val="000000" w:themeColor="text1"/>
          <w:lang w:val="en-GB"/>
        </w:rPr>
      </w:pPr>
      <w:r w:rsidRPr="00B17F83">
        <w:rPr>
          <w:color w:val="000000" w:themeColor="text1"/>
          <w:lang w:val="en-GB"/>
        </w:rPr>
        <w:t>Introduction</w:t>
      </w:r>
    </w:p>
    <w:p w14:paraId="30DC7985" w14:textId="6A658E5A" w:rsidR="00920101" w:rsidRPr="009926EC" w:rsidRDefault="00920101" w:rsidP="00920101">
      <w:pPr>
        <w:pStyle w:val="CETBodytext"/>
      </w:pPr>
      <w:r>
        <w:t xml:space="preserve">Plastics play an important role nowadays and have become essential everyday materials. They are present in every aspect of our lives, including our food supply, clothes, structures, transportation, communications, healthcare, recreation, and entertainment. Plastics are extremely stable and with rising landfill costs, forthcoming extended producer responsibility tax and the drive towards a circular economy, there is an increasing need to redirect polymer waste from landfill/energy recovery towards enhanced recovery of the raw materials </w:t>
      </w:r>
      <w:r>
        <w:fldChar w:fldCharType="begin"/>
      </w:r>
      <w:r>
        <w:instrText xml:space="preserve"> ADDIN EN.CITE &lt;EndNote&gt;&lt;Cite&gt;&lt;Author&gt;Chalmin&lt;/Author&gt;&lt;Year&gt;2019&lt;/Year&gt;&lt;RecNum&gt;2&lt;/RecNum&gt;&lt;DisplayText&gt;(Clark, Alonso et al. 1999, Chalmin 2019)&lt;/DisplayText&gt;&lt;record&gt;&lt;rec-number&gt;2&lt;/rec-number&gt;&lt;foreign-keys&gt;&lt;key app="EN" db-id="92e2ws0vpwswa0evz20vwppfzww95r50axts" timestamp="1674489320"&gt;2&lt;/key&gt;&lt;/foreign-keys&gt;&lt;ref-type name="Journal Article"&gt;17&lt;/ref-type&gt;&lt;contributors&gt;&lt;authors&gt;&lt;author&gt;Chalmin, Philippe&lt;/author&gt;&lt;/authors&gt;&lt;/contributors&gt;&lt;titles&gt;&lt;title&gt;The history of plastics: from the Capitol to the Tarpeian Rock&lt;/title&gt;&lt;secondary-title&gt;Field actions science reports. The Journal of Field Actions&lt;/secondary-title&gt;&lt;/titles&gt;&lt;periodical&gt;&lt;full-title&gt;Field actions science reports. The Journal of Field Actions&lt;/full-title&gt;&lt;/periodical&gt;&lt;pages&gt;6-11&lt;/pages&gt;&lt;number&gt;Special Issue 19&lt;/number&gt;&lt;dates&gt;&lt;year&gt;2019&lt;/year&gt;&lt;/dates&gt;&lt;isbn&gt;1867-8521&lt;/isbn&gt;&lt;urls&gt;&lt;/urls&gt;&lt;/record&gt;&lt;/Cite&gt;&lt;Cite&gt;&lt;Author&gt;Clark&lt;/Author&gt;&lt;Year&gt;1999&lt;/Year&gt;&lt;RecNum&gt;3&lt;/RecNum&gt;&lt;record&gt;&lt;rec-number&gt;3&lt;/rec-number&gt;&lt;foreign-keys&gt;&lt;key app="EN" db-id="92e2ws0vpwswa0evz20vwppfzww95r50axts" timestamp="1674489357"&gt;3&lt;/key&gt;&lt;/foreign-keys&gt;&lt;ref-type name="Book"&gt;6&lt;/ref-type&gt;&lt;contributors&gt;&lt;authors&gt;&lt;author&gt;Clark, James H&lt;/author&gt;&lt;author&gt;Alonso, José Aguado&lt;/author&gt;&lt;author&gt;Villalba, José Aguado&lt;/author&gt;&lt;author&gt;Aguado, José&lt;/author&gt;&lt;author&gt;Serrano, David P&lt;/author&gt;&lt;author&gt;Serrano, DA&lt;/author&gt;&lt;/authors&gt;&lt;/contributors&gt;&lt;titles&gt;&lt;title&gt;Feedstock recycling of plastic wastes&lt;/title&gt;&lt;/titles&gt;&lt;volume&gt;1&lt;/volume&gt;&lt;dates&gt;&lt;year&gt;1999&lt;/year&gt;&lt;/dates&gt;&lt;publisher&gt;Royal society of chemistry&lt;/publisher&gt;&lt;isbn&gt;0854045317&lt;/isbn&gt;&lt;urls&gt;&lt;/urls&gt;&lt;/record&gt;&lt;/Cite&gt;&lt;/EndNote&gt;</w:instrText>
      </w:r>
      <w:r>
        <w:fldChar w:fldCharType="separate"/>
      </w:r>
      <w:r>
        <w:rPr>
          <w:noProof/>
        </w:rPr>
        <w:t>(Clark et al., 1999, Chalmin, 2019)</w:t>
      </w:r>
      <w:r>
        <w:fldChar w:fldCharType="end"/>
      </w:r>
      <w:r>
        <w:t xml:space="preserve">. Recently, the COVID pandemic has introduced a significant amount of personal protective equipment (PPE) single use plastics in the form of facemasks, face shields and gowns with over 0.5 billion in England used in the first six months of the pandemic </w:t>
      </w:r>
      <w:r>
        <w:fldChar w:fldCharType="begin"/>
      </w:r>
      <w:r>
        <w:instrText xml:space="preserve"> ADDIN EN.CITE &lt;EndNote&gt;&lt;Cite&gt;&lt;Author&gt;Rizan&lt;/Author&gt;&lt;Year&gt;2021&lt;/Year&gt;&lt;RecNum&gt;4&lt;/RecNum&gt;&lt;DisplayText&gt;(Rizan, Reed et al. 2021)&lt;/DisplayText&gt;&lt;record&gt;&lt;rec-number&gt;4&lt;/rec-number&gt;&lt;foreign-keys&gt;&lt;key app="EN" db-id="92e2ws0vpwswa0evz20vwppfzww95r50axts" timestamp="1674489386"&gt;4&lt;/key&gt;&lt;/foreign-keys&gt;&lt;ref-type name="Journal Article"&gt;17&lt;/ref-type&gt;&lt;contributors&gt;&lt;authors&gt;&lt;author&gt;Rizan, Chantelle&lt;/author&gt;&lt;author&gt;Reed, Malcolm&lt;/author&gt;&lt;author&gt;Bhutta, Mahmood F&lt;/author&gt;&lt;/authors&gt;&lt;/contributors&gt;&lt;titles&gt;&lt;title&gt;Environmental impact of personal protective equipment distributed for use by health and social care services in England in the first six months of the COVID-19 pandemic&lt;/title&gt;&lt;secondary-title&gt;Journal of the Royal Society of Medicine&lt;/secondary-title&gt;&lt;/titles&gt;&lt;periodical&gt;&lt;full-title&gt;Journal of the Royal Society of Medicine&lt;/full-title&gt;&lt;/periodical&gt;&lt;pages&gt;250-263&lt;/pages&gt;&lt;volume&gt;114&lt;/volume&gt;&lt;number&gt;5&lt;/number&gt;&lt;dates&gt;&lt;year&gt;2021&lt;/year&gt;&lt;/dates&gt;&lt;isbn&gt;0141-0768&lt;/isbn&gt;&lt;urls&gt;&lt;/urls&gt;&lt;/record&gt;&lt;/Cite&gt;&lt;/EndNote&gt;</w:instrText>
      </w:r>
      <w:r>
        <w:fldChar w:fldCharType="separate"/>
      </w:r>
      <w:r>
        <w:rPr>
          <w:noProof/>
        </w:rPr>
        <w:t>(Rizan et al., 2021)</w:t>
      </w:r>
      <w:r>
        <w:fldChar w:fldCharType="end"/>
      </w:r>
      <w:r>
        <w:t xml:space="preserve">. Globally, 129 billion face masks and 65 billion gloves are consumed monthly by 7.8 billion people. Moreover, the mismanagement of PPE resulted in significant environmental pollution and economic losses. The contamination of the environment has also increased exponentially due to the COVID-19 pandemic with indiscriminate disposal of personal protective equipment </w:t>
      </w:r>
      <w:r>
        <w:fldChar w:fldCharType="begin"/>
      </w:r>
      <w:r>
        <w:instrText xml:space="preserve"> ADDIN EN.CITE &lt;EndNote&gt;&lt;Cite&gt;&lt;Author&gt;Prata&lt;/Author&gt;&lt;Year&gt;2020&lt;/Year&gt;&lt;RecNum&gt;5&lt;/RecNum&gt;&lt;DisplayText&gt;(Prata, Silva et al. 2020)&lt;/DisplayText&gt;&lt;record&gt;&lt;rec-number&gt;5&lt;/rec-number&gt;&lt;foreign-keys&gt;&lt;key app="EN" db-id="92e2ws0vpwswa0evz20vwppfzww95r50axts" timestamp="1674489449"&gt;5&lt;/key&gt;&lt;/foreign-keys&gt;&lt;ref-type name="Journal Article"&gt;17&lt;/ref-type&gt;&lt;contributors&gt;&lt;authors&gt;&lt;author&gt;Prata, Joana C&lt;/author&gt;&lt;author&gt;Silva, Ana LP&lt;/author&gt;&lt;author&gt;Walker, Tony R&lt;/author&gt;&lt;author&gt;Duarte, Armando C&lt;/author&gt;&lt;author&gt;Rocha-Santos, Teresa&lt;/author&gt;&lt;/authors&gt;&lt;/contributors&gt;&lt;titles&gt;&lt;title&gt;COVID-19 pandemic repercussions on the use and management of plastics&lt;/title&gt;&lt;secondary-title&gt;Environmental science &amp;amp; technology&lt;/secondary-title&gt;&lt;/titles&gt;&lt;periodical&gt;&lt;full-title&gt;Environmental science &amp;amp; technology&lt;/full-title&gt;&lt;/periodical&gt;&lt;pages&gt;7760-7765&lt;/pages&gt;&lt;volume&gt;54&lt;/volume&gt;&lt;number&gt;13&lt;/number&gt;&lt;dates&gt;&lt;year&gt;2020&lt;/year&gt;&lt;/dates&gt;&lt;isbn&gt;0013-936X&lt;/isbn&gt;&lt;urls&gt;&lt;/urls&gt;&lt;/record&gt;&lt;/Cite&gt;&lt;/EndNote&gt;</w:instrText>
      </w:r>
      <w:r>
        <w:fldChar w:fldCharType="separate"/>
      </w:r>
      <w:r>
        <w:rPr>
          <w:noProof/>
        </w:rPr>
        <w:t>(Prata et al., 2020)</w:t>
      </w:r>
      <w:r>
        <w:fldChar w:fldCharType="end"/>
      </w:r>
      <w:r>
        <w:t xml:space="preserve">. Therefore, recycling polymers is required to </w:t>
      </w:r>
      <w:proofErr w:type="spellStart"/>
      <w:r>
        <w:t>minimise</w:t>
      </w:r>
      <w:proofErr w:type="spellEnd"/>
      <w:r>
        <w:t xml:space="preserve"> their influence on the environment. Since several tertiary recycling techniques provide valuable chemicals or fuels, they are attractive </w:t>
      </w:r>
      <w:r>
        <w:fldChar w:fldCharType="begin"/>
      </w:r>
      <w:r>
        <w:instrText xml:space="preserve"> ADDIN EN.CITE &lt;EndNote&gt;&lt;Cite&gt;&lt;Author&gt;de la Puente&lt;/Author&gt;&lt;Year&gt;2002&lt;/Year&gt;&lt;RecNum&gt;6&lt;/RecNum&gt;&lt;DisplayText&gt;(de la Puente, Klocker et al. 2002)&lt;/DisplayText&gt;&lt;record&gt;&lt;rec-number&gt;6&lt;/rec-number&gt;&lt;foreign-keys&gt;&lt;key app="EN" db-id="92e2ws0vpwswa0evz20vwppfzww95r50axts" timestamp="1674489477"&gt;6&lt;/key&gt;&lt;/foreign-keys&gt;&lt;ref-type name="Journal Article"&gt;17&lt;/ref-type&gt;&lt;contributors&gt;&lt;authors&gt;&lt;author&gt;de la Puente, Gabriela&lt;/author&gt;&lt;author&gt;Klocker, C&lt;/author&gt;&lt;author&gt;Sedran, U&lt;/author&gt;&lt;/authors&gt;&lt;/contributors&gt;&lt;titles&gt;&lt;title&gt;Conversion of waste plastics into fuels: Recycling polyethylene in FCC&lt;/title&gt;&lt;secondary-title&gt;Applied Catalysis B: Environmental&lt;/secondary-title&gt;&lt;/titles&gt;&lt;periodical&gt;&lt;full-title&gt;Applied Catalysis B: Environmental&lt;/full-title&gt;&lt;/periodical&gt;&lt;pages&gt;279-285&lt;/pages&gt;&lt;volume&gt;36&lt;/volume&gt;&lt;number&gt;4&lt;/number&gt;&lt;dates&gt;&lt;year&gt;2002&lt;/year&gt;&lt;/dates&gt;&lt;isbn&gt;0926-3373&lt;/isbn&gt;&lt;urls&gt;&lt;/urls&gt;&lt;/record&gt;&lt;/Cite&gt;&lt;/EndNote&gt;</w:instrText>
      </w:r>
      <w:r>
        <w:fldChar w:fldCharType="separate"/>
      </w:r>
      <w:r>
        <w:rPr>
          <w:noProof/>
        </w:rPr>
        <w:t>(de la Puente et al., 2002)</w:t>
      </w:r>
      <w:r>
        <w:fldChar w:fldCharType="end"/>
      </w:r>
      <w:r w:rsidRPr="003D1E39">
        <w:t>.</w:t>
      </w:r>
      <w:r w:rsidRPr="000A167B">
        <w:t xml:space="preserve"> </w:t>
      </w:r>
      <w:r>
        <w:t xml:space="preserve">There has been a substantial amount of research focused on plastic waste pyrolysis </w:t>
      </w:r>
      <w:r>
        <w:fldChar w:fldCharType="begin"/>
      </w:r>
      <w:r>
        <w:instrText xml:space="preserve"> ADDIN EN.CITE &lt;EndNote&gt;&lt;Cite&gt;&lt;Author&gt;Sharuddin&lt;/Author&gt;&lt;Year&gt;2016&lt;/Year&gt;&lt;RecNum&gt;7&lt;/RecNum&gt;&lt;DisplayText&gt;(Sharuddin, Abnisa et al. 2016)&lt;/DisplayText&gt;&lt;record&gt;&lt;rec-number&gt;7&lt;/rec-number&gt;&lt;foreign-keys&gt;&lt;key app="EN" db-id="92e2ws0vpwswa0evz20vwppfzww95r50axts" timestamp="1674489512"&gt;7&lt;/key&gt;&lt;/foreign-keys&gt;&lt;ref-type name="Journal Article"&gt;17&lt;/ref-type&gt;&lt;contributors&gt;&lt;authors&gt;&lt;author&gt;Sharuddin, Shafferina Dayana Anuar&lt;/author&gt;&lt;author&gt;Abnisa, Faisal&lt;/author&gt;&lt;author&gt;Daud, Wan Mohd Ashri Wan&lt;/author&gt;&lt;author&gt;Aroua, Mohamed Kheireddine&lt;/author&gt;&lt;/authors&gt;&lt;/contributors&gt;&lt;titles&gt;&lt;title&gt;A review on pyrolysis of plastic wastes&lt;/title&gt;&lt;secondary-title&gt;Energy conversion and management&lt;/secondary-title&gt;&lt;/titles&gt;&lt;periodical&gt;&lt;full-title&gt;Energy conversion and management&lt;/full-title&gt;&lt;/periodical&gt;&lt;pages&gt;308-326&lt;/pages&gt;&lt;volume&gt;115&lt;/volume&gt;&lt;dates&gt;&lt;year&gt;2016&lt;/year&gt;&lt;/dates&gt;&lt;isbn&gt;0196-8904&lt;/isbn&gt;&lt;urls&gt;&lt;/urls&gt;&lt;/record&gt;&lt;/Cite&gt;&lt;/EndNote&gt;</w:instrText>
      </w:r>
      <w:r>
        <w:fldChar w:fldCharType="separate"/>
      </w:r>
      <w:r>
        <w:rPr>
          <w:noProof/>
        </w:rPr>
        <w:t>(Sharuddin et al., 2016)</w:t>
      </w:r>
      <w:r>
        <w:fldChar w:fldCharType="end"/>
      </w:r>
      <w:r w:rsidRPr="00995B9C">
        <w:t xml:space="preserve">. </w:t>
      </w:r>
      <w:r>
        <w:t xml:space="preserve">Although it may produce beneficial products and provides an alternative to other disposal methods, it still has challenges with process efficiency </w:t>
      </w:r>
      <w:r>
        <w:fldChar w:fldCharType="begin"/>
      </w:r>
      <w:r>
        <w:instrText xml:space="preserve"> ADDIN EN.CITE &lt;EndNote&gt;&lt;Cite&gt;&lt;Author&gt;Rollinson&lt;/Author&gt;&lt;Year&gt;2019&lt;/Year&gt;&lt;RecNum&gt;8&lt;/RecNum&gt;&lt;DisplayText&gt;(Rollinson and Oladejo 2019)&lt;/DisplayText&gt;&lt;record&gt;&lt;rec-number&gt;8&lt;/rec-number&gt;&lt;foreign-keys&gt;&lt;key app="EN" db-id="92e2ws0vpwswa0evz20vwppfzww95r50axts" timestamp="1674489553"&gt;8&lt;/key&gt;&lt;/foreign-keys&gt;&lt;ref-type name="Journal Article"&gt;17&lt;/ref-type&gt;&lt;contributors&gt;&lt;authors&gt;&lt;author&gt;Rollinson, Andrew Neil&lt;/author&gt;&lt;author&gt;Oladejo, Jumoke Mojisola&lt;/author&gt;&lt;/authors&gt;&lt;/contributors&gt;&lt;titles&gt;&lt;title&gt;‘Patented blunderings’, efficiency awareness, and self-sustainability claims in the pyrolysis energy from waste sector&lt;/title&gt;&lt;secondary-title&gt;Resources, Conservation and Recycling&lt;/secondary-title&gt;&lt;/titles&gt;&lt;periodical&gt;&lt;full-title&gt;Resources, Conservation and Recycling&lt;/full-title&gt;&lt;/periodical&gt;&lt;pages&gt;233-242&lt;/pages&gt;&lt;volume&gt;141&lt;/volume&gt;&lt;dates&gt;&lt;year&gt;2019&lt;/year&gt;&lt;/dates&gt;&lt;isbn&gt;0921-3449&lt;/isbn&gt;&lt;urls&gt;&lt;/urls&gt;&lt;/record&gt;&lt;/Cite&gt;&lt;/EndNote&gt;</w:instrText>
      </w:r>
      <w:r>
        <w:fldChar w:fldCharType="separate"/>
      </w:r>
      <w:r>
        <w:rPr>
          <w:noProof/>
        </w:rPr>
        <w:t>(Rollinson and Oladejo, 2019)</w:t>
      </w:r>
      <w:r>
        <w:fldChar w:fldCharType="end"/>
      </w:r>
      <w:r w:rsidRPr="00995B9C">
        <w:t xml:space="preserve">, </w:t>
      </w:r>
      <w:r>
        <w:t>which catalysis may be able to address. For the hydrocracking of polymer feedstocks, previous research has revealed metal-loaded zeolite catalysts as attractive options with faster reaction times under benign conditions</w:t>
      </w:r>
      <w:r w:rsidRPr="000A167B">
        <w:t xml:space="preserve"> </w:t>
      </w:r>
      <w:r w:rsidRPr="000A167B">
        <w:fldChar w:fldCharType="begin"/>
      </w:r>
      <w:r>
        <w:instrText xml:space="preserve"> ADDIN EN.CITE &lt;EndNote&gt;&lt;Cite&gt;&lt;Author&gt;Garforth&lt;/Author&gt;&lt;Year&gt;2004&lt;/Year&gt;&lt;RecNum&gt;9&lt;/RecNum&gt;&lt;DisplayText&gt;(Garforth, Ali et al. 2004, Akah, Hernandez-Martinez et al. 2015)&lt;/DisplayText&gt;&lt;record&gt;&lt;rec-number&gt;9&lt;/rec-number&gt;&lt;foreign-keys&gt;&lt;key app="EN" db-id="92e2ws0vpwswa0evz20vwppfzww95r50axts" timestamp="1674489596"&gt;9&lt;/key&gt;&lt;/foreign-keys&gt;&lt;ref-type name="Journal Article"&gt;17&lt;/ref-type&gt;&lt;contributors&gt;&lt;authors&gt;&lt;author&gt;Garforth, Arthur A&lt;/author&gt;&lt;author&gt;Ali, Salmiaton&lt;/author&gt;&lt;author&gt;Hernández-Martínez, Jesús&lt;/author&gt;&lt;author&gt;Akah, Aaron&lt;/author&gt;&lt;/authors&gt;&lt;/contributors&gt;&lt;titles&gt;&lt;title&gt;Feedstock recycling of polymer wastes&lt;/title&gt;&lt;secondary-title&gt;Current Opinion in Solid State and Materials Science&lt;/secondary-title&gt;&lt;/titles&gt;&lt;periodical&gt;&lt;full-title&gt;Current Opinion in Solid State and Materials Science&lt;/full-title&gt;&lt;/periodical&gt;&lt;pages&gt;419-425&lt;/pages&gt;&lt;volume&gt;8&lt;/volume&gt;&lt;number&gt;6&lt;/number&gt;&lt;dates&gt;&lt;year&gt;2004&lt;/year&gt;&lt;/dates&gt;&lt;isbn&gt;1359-0286&lt;/isbn&gt;&lt;urls&gt;&lt;/urls&gt;&lt;/record&gt;&lt;/Cite&gt;&lt;Cite&gt;&lt;Author&gt;Akah&lt;/Author&gt;&lt;Year&gt;2015&lt;/Year&gt;&lt;RecNum&gt;10&lt;/RecNum&gt;&lt;record&gt;&lt;rec-number&gt;10&lt;/rec-number&gt;&lt;foreign-keys&gt;&lt;key app="EN" db-id="92e2ws0vpwswa0evz20vwppfzww95r50axts" timestamp="1674489624"&gt;10&lt;/key&gt;&lt;/foreign-keys&gt;&lt;ref-type name="Conference Proceedings"&gt;10&lt;/ref-type&gt;&lt;contributors&gt;&lt;authors&gt;&lt;author&gt;Akah, Aaron&lt;/author&gt;&lt;author&gt;Hernandez-Martinez, Jesus&lt;/author&gt;&lt;author&gt;Rallan, Chandni&lt;/author&gt;&lt;author&gt;Garforth, Arthur&lt;/author&gt;&lt;/authors&gt;&lt;/contributors&gt;&lt;titles&gt;&lt;title&gt;Enhanced feedstock recycling of post-consumer plastic&lt;/title&gt;&lt;secondary-title&gt;ICheaP12&lt;/secondary-title&gt;&lt;/titles&gt;&lt;pages&gt;2395-2400&lt;/pages&gt;&lt;dates&gt;&lt;year&gt;2015&lt;/year&gt;&lt;/dates&gt;&lt;publisher&gt;AIDIC&lt;/publisher&gt;&lt;urls&gt;&lt;/urls&gt;&lt;/record&gt;&lt;/Cite&gt;&lt;/EndNote&gt;</w:instrText>
      </w:r>
      <w:r w:rsidRPr="000A167B">
        <w:fldChar w:fldCharType="separate"/>
      </w:r>
      <w:r>
        <w:rPr>
          <w:noProof/>
        </w:rPr>
        <w:t>(Akah et al., 2015)</w:t>
      </w:r>
      <w:r w:rsidRPr="000A167B">
        <w:fldChar w:fldCharType="end"/>
      </w:r>
      <w:r w:rsidRPr="000A167B">
        <w:t xml:space="preserve">. </w:t>
      </w:r>
      <w:r>
        <w:t xml:space="preserve">The conversion of plastic waste into valuable chemicals such naphtha or short-chain hydrocarbons via the hydrocracking is a significant improvement over the existing methods </w:t>
      </w:r>
      <w:r>
        <w:fldChar w:fldCharType="begin"/>
      </w:r>
      <w:r>
        <w:instrText xml:space="preserve"> ADDIN EN.CITE &lt;EndNote&gt;&lt;Cite&gt;&lt;Author&gt;Kaminsky&lt;/Author&gt;&lt;Year&gt;2007&lt;/Year&gt;&lt;RecNum&gt;11&lt;/RecNum&gt;&lt;DisplayText&gt;(Kaminsky and Zorriqueta 2007)&lt;/DisplayText&gt;&lt;record&gt;&lt;rec-number&gt;11&lt;/rec-number&gt;&lt;foreign-keys&gt;&lt;key app="EN" db-id="92e2ws0vpwswa0evz20vwppfzww95r50axts" timestamp="1674489650"&gt;11&lt;/key&gt;&lt;/foreign-keys&gt;&lt;ref-type name="Journal Article"&gt;17&lt;/ref-type&gt;&lt;contributors&gt;&lt;authors&gt;&lt;author&gt;Kaminsky, Walter&lt;/author&gt;&lt;author&gt;Zorriqueta, Ignacio-Javier Nuñez&lt;/author&gt;&lt;/authors&gt;&lt;/contributors&gt;&lt;titles&gt;&lt;title&gt;Catalytical and thermal pyrolysis of polyolefins&lt;/title&gt;&lt;secondary-title&gt;Journal of Analytical and Applied Pyrolysis&lt;/secondary-title&gt;&lt;/titles&gt;&lt;periodical&gt;&lt;full-title&gt;Journal of Analytical and Applied Pyrolysis&lt;/full-title&gt;&lt;/periodical&gt;&lt;pages&gt;368-374&lt;/pages&gt;&lt;volume&gt;79&lt;/volume&gt;&lt;number&gt;1-2&lt;/number&gt;&lt;dates&gt;&lt;year&gt;2007&lt;/year&gt;&lt;/dates&gt;&lt;isbn&gt;0165-2370&lt;/isbn&gt;&lt;urls&gt;&lt;/urls&gt;&lt;/record&gt;&lt;/Cite&gt;&lt;/EndNote&gt;</w:instrText>
      </w:r>
      <w:r>
        <w:fldChar w:fldCharType="separate"/>
      </w:r>
      <w:r>
        <w:rPr>
          <w:noProof/>
        </w:rPr>
        <w:t>(Kaminsky and Zorriqueta, 2007)</w:t>
      </w:r>
      <w:r>
        <w:fldChar w:fldCharType="end"/>
      </w:r>
      <w:r>
        <w:t xml:space="preserve">. </w:t>
      </w:r>
      <w:r w:rsidRPr="00CA1CC1">
        <w:t>A bifunctional catalyst, like zeolite, that has an acidic function to enhance the cracking usually offered by a greater surface area support, is essential for hydrocracking</w:t>
      </w:r>
      <w:r>
        <w:t xml:space="preserve"> </w:t>
      </w:r>
      <w:r>
        <w:fldChar w:fldCharType="begin"/>
      </w:r>
      <w:r>
        <w:instrText xml:space="preserve"> ADDIN EN.CITE &lt;EndNote&gt;&lt;Cite&gt;&lt;Author&gt;Akah&lt;/Author&gt;&lt;Year&gt;2015&lt;/Year&gt;&lt;RecNum&gt;10&lt;/RecNum&gt;&lt;DisplayText&gt;(Akah, Hernandez-Martinez et al. 2015)&lt;/DisplayText&gt;&lt;record&gt;&lt;rec-number&gt;10&lt;/rec-number&gt;&lt;foreign-keys&gt;&lt;key app="EN" db-id="92e2ws0vpwswa0evz20vwppfzww95r50axts" timestamp="1674489624"&gt;10&lt;/key&gt;&lt;/foreign-keys&gt;&lt;ref-type name="Conference Proceedings"&gt;10&lt;/ref-type&gt;&lt;contributors&gt;&lt;authors&gt;&lt;author&gt;Akah, Aaron&lt;/author&gt;&lt;author&gt;Hernandez-Martinez, Jesus&lt;/author&gt;&lt;author&gt;Rallan, Chandni&lt;/author&gt;&lt;author&gt;Garforth, Arthur&lt;/author&gt;&lt;/authors&gt;&lt;/contributors&gt;&lt;titles&gt;&lt;title&gt;Enhanced feedstock recycling of post-consumer plastic&lt;/title&gt;&lt;secondary-title&gt;ICheaP12&lt;/secondary-title&gt;&lt;/titles&gt;&lt;pages&gt;2395-2400&lt;/pages&gt;&lt;dates&gt;&lt;year&gt;2015&lt;/year&gt;&lt;/dates&gt;&lt;publisher&gt;AIDIC&lt;/publisher&gt;&lt;urls&gt;&lt;/urls&gt;&lt;/record&gt;&lt;/Cite&gt;&lt;/EndNote&gt;</w:instrText>
      </w:r>
      <w:r>
        <w:fldChar w:fldCharType="separate"/>
      </w:r>
      <w:r>
        <w:rPr>
          <w:noProof/>
        </w:rPr>
        <w:t>(Akah et al., 2015)</w:t>
      </w:r>
      <w:r>
        <w:fldChar w:fldCharType="end"/>
      </w:r>
      <w:r w:rsidRPr="00CA1CC1">
        <w:t>.</w:t>
      </w:r>
      <w:r>
        <w:t xml:space="preserve"> Bin Jumah et al. demonstrated that by optimising the reaction's conditions to (330 °C, 20 bar H</w:t>
      </w:r>
      <w:r w:rsidRPr="005D680D">
        <w:rPr>
          <w:vertAlign w:val="subscript"/>
        </w:rPr>
        <w:t>2</w:t>
      </w:r>
      <w:r>
        <w:t xml:space="preserve">, and 30 min) over zeolite Beta impregnated with 1% platinum, a high conversion of virgin and waste polymers </w:t>
      </w:r>
      <w:r>
        <w:lastRenderedPageBreak/>
        <w:t>was attained</w:t>
      </w:r>
      <w:r>
        <w:fldChar w:fldCharType="begin"/>
      </w:r>
      <w:r>
        <w:instrText xml:space="preserve"> ADDIN EN.CITE &lt;EndNote&gt;&lt;Cite&gt;&lt;Author&gt;bin Jumah&lt;/Author&gt;&lt;Year&gt;2021&lt;/Year&gt;&lt;RecNum&gt;12&lt;/RecNum&gt;&lt;DisplayText&gt;(bin Jumah, Tedstone et al. 2021)&lt;/DisplayText&gt;&lt;record&gt;&lt;rec-number&gt;12&lt;/rec-number&gt;&lt;foreign-keys&gt;&lt;key app="EN" db-id="92e2ws0vpwswa0evz20vwppfzww95r50axts" timestamp="1674514813"&gt;12&lt;/key&gt;&lt;/foreign-keys&gt;&lt;ref-type name="Journal Article"&gt;17&lt;/ref-type&gt;&lt;contributors&gt;&lt;authors&gt;&lt;author&gt;bin Jumah, Abdulrahman&lt;/author&gt;&lt;author&gt;Tedstone, Aleksander A&lt;/author&gt;&lt;author&gt;Garforth, Arthur A&lt;/author&gt;&lt;/authors&gt;&lt;/contributors&gt;&lt;titles&gt;&lt;title&gt;Hydrocracking of virgin and post-consumer polymers&lt;/title&gt;&lt;secondary-title&gt;Microporous and Mesoporous Materials&lt;/secondary-title&gt;&lt;/titles&gt;&lt;periodical&gt;&lt;full-title&gt;Microporous and Mesoporous Materials&lt;/full-title&gt;&lt;/periodical&gt;&lt;pages&gt;110912&lt;/pages&gt;&lt;volume&gt;315&lt;/volume&gt;&lt;dates&gt;&lt;year&gt;2021&lt;/year&gt;&lt;/dates&gt;&lt;isbn&gt;1387-1811&lt;/isbn&gt;&lt;urls&gt;&lt;/urls&gt;&lt;/record&gt;&lt;/Cite&gt;&lt;/EndNote&gt;</w:instrText>
      </w:r>
      <w:r>
        <w:fldChar w:fldCharType="separate"/>
      </w:r>
      <w:r>
        <w:rPr>
          <w:noProof/>
        </w:rPr>
        <w:t>(bin Jumah, et al., 2021)</w:t>
      </w:r>
      <w:r>
        <w:fldChar w:fldCharType="end"/>
      </w:r>
      <w:r w:rsidRPr="005B10CE">
        <w:t>.</w:t>
      </w:r>
      <w:r>
        <w:t xml:space="preserve"> As a route out of this environmental challenge, this research proposes the use of a chemical recycling process for the transformation of single use PPE (such as facemask) into a valuable chemical intermediate (feedstock), such as, naphtha.  Hence, this work focuses on a catalytic study using both thermal analysis to screen potential catalysts and the hydrocracking of virgin polypropylene (PP) and initially PPE facemasks, as a relatively pure waste stream</w:t>
      </w:r>
      <w:r>
        <w:rPr>
          <w:lang w:val="en-GB"/>
        </w:rPr>
        <w:t xml:space="preserve"> </w:t>
      </w:r>
      <w:r>
        <w:rPr>
          <w:lang w:val="en-GB"/>
        </w:rPr>
        <w:fldChar w:fldCharType="begin"/>
      </w:r>
      <w:r>
        <w:rPr>
          <w:lang w:val="en-GB"/>
        </w:rPr>
        <w:instrText xml:space="preserve"> ADDIN EN.CITE &lt;EndNote&gt;&lt;Cite&gt;&lt;Author&gt;bin Jumah&lt;/Author&gt;&lt;Year&gt;2021&lt;/Year&gt;&lt;RecNum&gt;12&lt;/RecNum&gt;&lt;DisplayText&gt;(bin Jumah, Tedstone et al. 2021)&lt;/DisplayText&gt;&lt;record&gt;&lt;rec-number&gt;12&lt;/rec-number&gt;&lt;foreign-keys&gt;&lt;key app="EN" db-id="92e2ws0vpwswa0evz20vwppfzww95r50axts" timestamp="1674514813"&gt;12&lt;/key&gt;&lt;/foreign-keys&gt;&lt;ref-type name="Journal Article"&gt;17&lt;/ref-type&gt;&lt;contributors&gt;&lt;authors&gt;&lt;author&gt;bin Jumah, Abdulrahman&lt;/author&gt;&lt;author&gt;Tedstone, Aleksander A&lt;/author&gt;&lt;author&gt;Garforth, Arthur A&lt;/author&gt;&lt;/authors&gt;&lt;/contributors&gt;&lt;titles&gt;&lt;title&gt;Hydrocracking of virgin and post-consumer polymers&lt;/title&gt;&lt;secondary-title&gt;Microporous and Mesoporous Materials&lt;/secondary-title&gt;&lt;/titles&gt;&lt;periodical&gt;&lt;full-title&gt;Microporous and Mesoporous Materials&lt;/full-title&gt;&lt;/periodical&gt;&lt;pages&gt;110912&lt;/pages&gt;&lt;volume&gt;315&lt;/volume&gt;&lt;dates&gt;&lt;year&gt;2021&lt;/year&gt;&lt;/dates&gt;&lt;isbn&gt;1387-1811&lt;/isbn&gt;&lt;urls&gt;&lt;/urls&gt;&lt;/record&gt;&lt;/Cite&gt;&lt;/EndNote&gt;</w:instrText>
      </w:r>
      <w:r>
        <w:rPr>
          <w:lang w:val="en-GB"/>
        </w:rPr>
        <w:fldChar w:fldCharType="separate"/>
      </w:r>
      <w:r>
        <w:rPr>
          <w:noProof/>
          <w:lang w:val="en-GB"/>
        </w:rPr>
        <w:t>(bin Jumah et al., 2021)</w:t>
      </w:r>
      <w:r>
        <w:rPr>
          <w:lang w:val="en-GB"/>
        </w:rPr>
        <w:fldChar w:fldCharType="end"/>
      </w:r>
      <w:r w:rsidRPr="000D10E7">
        <w:rPr>
          <w:lang w:val="en-GB"/>
        </w:rPr>
        <w:t>.</w:t>
      </w:r>
    </w:p>
    <w:p w14:paraId="152EB717" w14:textId="77777777" w:rsidR="00920101" w:rsidRPr="00B17F83" w:rsidRDefault="00920101" w:rsidP="00920101">
      <w:pPr>
        <w:pStyle w:val="CETHeading1"/>
        <w:rPr>
          <w:color w:val="000000" w:themeColor="text1"/>
        </w:rPr>
      </w:pPr>
      <w:r w:rsidRPr="00B17F83">
        <w:rPr>
          <w:color w:val="000000" w:themeColor="text1"/>
        </w:rPr>
        <w:t>Experimental</w:t>
      </w:r>
    </w:p>
    <w:p w14:paraId="3C32A3AE" w14:textId="77777777" w:rsidR="00920101" w:rsidRDefault="00920101" w:rsidP="00920101">
      <w:pPr>
        <w:pStyle w:val="CETheadingx"/>
      </w:pPr>
      <w:r w:rsidRPr="00C63E64">
        <w:t>Materials</w:t>
      </w:r>
      <w:r>
        <w:t xml:space="preserve"> and samples preparation </w:t>
      </w:r>
    </w:p>
    <w:p w14:paraId="7DBE1822" w14:textId="7DF87020" w:rsidR="00920101" w:rsidRPr="00D86C38" w:rsidRDefault="00920101" w:rsidP="00920101">
      <w:pPr>
        <w:pStyle w:val="CETBodytext"/>
      </w:pPr>
      <w:r w:rsidRPr="008D40FA">
        <w:rPr>
          <w:lang w:val="en-GB"/>
        </w:rPr>
        <w:t xml:space="preserve">In this study </w:t>
      </w:r>
      <w:r>
        <w:rPr>
          <w:lang w:val="en-GB"/>
        </w:rPr>
        <w:t xml:space="preserve">ammonium </w:t>
      </w:r>
      <w:r w:rsidRPr="008D40FA">
        <w:rPr>
          <w:lang w:val="en-GB"/>
        </w:rPr>
        <w:t>form Beta (S</w:t>
      </w:r>
      <w:r>
        <w:rPr>
          <w:lang w:val="en-GB"/>
        </w:rPr>
        <w:t xml:space="preserve">i/Al ratio = 12.5) and acidic hydrogen </w:t>
      </w:r>
      <w:r w:rsidRPr="008D40FA">
        <w:rPr>
          <w:lang w:val="en-GB"/>
        </w:rPr>
        <w:t xml:space="preserve">form USY (Si/Al ratio = 15) zeolite catalysts </w:t>
      </w:r>
      <w:r>
        <w:rPr>
          <w:lang w:val="en-GB"/>
        </w:rPr>
        <w:t xml:space="preserve">were used, were supplied by </w:t>
      </w:r>
      <w:proofErr w:type="spellStart"/>
      <w:r>
        <w:rPr>
          <w:lang w:val="en-GB"/>
        </w:rPr>
        <w:t>Zeolyst</w:t>
      </w:r>
      <w:proofErr w:type="spellEnd"/>
      <w:r>
        <w:rPr>
          <w:lang w:val="en-GB"/>
        </w:rPr>
        <w:t xml:space="preserve"> I</w:t>
      </w:r>
      <w:r w:rsidRPr="008D40FA">
        <w:rPr>
          <w:lang w:val="en-GB"/>
        </w:rPr>
        <w:t>nternational</w:t>
      </w:r>
      <w:r>
        <w:rPr>
          <w:lang w:val="en-GB"/>
        </w:rPr>
        <w:t xml:space="preserve"> Inc</w:t>
      </w:r>
      <w:r w:rsidRPr="008D40FA">
        <w:rPr>
          <w:lang w:val="en-GB"/>
        </w:rPr>
        <w:t xml:space="preserve">, code no. </w:t>
      </w:r>
      <w:r>
        <w:rPr>
          <w:lang w:val="en-GB"/>
        </w:rPr>
        <w:t>CP814E (Beta zeolite) and CBV720 (USY zeolite), respectively. They</w:t>
      </w:r>
      <w:r w:rsidRPr="003910C0">
        <w:rPr>
          <w:lang w:val="en-GB"/>
        </w:rPr>
        <w:t xml:space="preserve"> were </w:t>
      </w:r>
      <w:r w:rsidR="005D47C0" w:rsidRPr="003910C0">
        <w:rPr>
          <w:lang w:val="en-GB"/>
        </w:rPr>
        <w:t>metal loaded</w:t>
      </w:r>
      <w:r>
        <w:rPr>
          <w:lang w:val="en-GB"/>
        </w:rPr>
        <w:t xml:space="preserve"> using tetraamine platinum (II) chloride hydrate</w:t>
      </w:r>
      <w:r w:rsidRPr="003910C0">
        <w:rPr>
          <w:lang w:val="en-GB"/>
        </w:rPr>
        <w:t xml:space="preserve"> (Pt [NH</w:t>
      </w:r>
      <w:r w:rsidRPr="003910C0">
        <w:rPr>
          <w:vertAlign w:val="subscript"/>
          <w:lang w:val="en-GB"/>
        </w:rPr>
        <w:t>3</w:t>
      </w:r>
      <w:r w:rsidRPr="003910C0">
        <w:rPr>
          <w:lang w:val="en-GB"/>
        </w:rPr>
        <w:t>]</w:t>
      </w:r>
      <w:r w:rsidRPr="003910C0">
        <w:rPr>
          <w:vertAlign w:val="subscript"/>
          <w:lang w:val="en-GB"/>
        </w:rPr>
        <w:t>4</w:t>
      </w:r>
      <w:r w:rsidRPr="003910C0">
        <w:rPr>
          <w:lang w:val="en-GB"/>
        </w:rPr>
        <w:t>Cl</w:t>
      </w:r>
      <w:r w:rsidRPr="003910C0">
        <w:rPr>
          <w:vertAlign w:val="subscript"/>
          <w:lang w:val="en-GB"/>
        </w:rPr>
        <w:t>2</w:t>
      </w:r>
      <w:r w:rsidRPr="003910C0">
        <w:rPr>
          <w:lang w:val="en-GB"/>
        </w:rPr>
        <w:t>·H</w:t>
      </w:r>
      <w:r w:rsidRPr="003910C0">
        <w:rPr>
          <w:vertAlign w:val="subscript"/>
          <w:lang w:val="en-GB"/>
        </w:rPr>
        <w:t>2</w:t>
      </w:r>
      <w:r>
        <w:rPr>
          <w:lang w:val="en-GB"/>
        </w:rPr>
        <w:t>O, Mw</w:t>
      </w:r>
      <w:r w:rsidRPr="003910C0">
        <w:rPr>
          <w:lang w:val="en-GB"/>
        </w:rPr>
        <w:t xml:space="preserve"> </w:t>
      </w:r>
      <w:r w:rsidRPr="00D86C38">
        <w:rPr>
          <w:lang w:val="en-GB"/>
        </w:rPr>
        <w:t>~</w:t>
      </w:r>
      <w:r>
        <w:rPr>
          <w:lang w:val="en-GB"/>
        </w:rPr>
        <w:t xml:space="preserve"> </w:t>
      </w:r>
      <w:r w:rsidRPr="003910C0">
        <w:rPr>
          <w:lang w:val="en-GB"/>
        </w:rPr>
        <w:t>334.11</w:t>
      </w:r>
      <w:r w:rsidRPr="00D86C38">
        <w:rPr>
          <w:lang w:val="en-GB"/>
        </w:rPr>
        <w:t xml:space="preserve"> g/mol</w:t>
      </w:r>
      <w:r w:rsidRPr="003910C0">
        <w:rPr>
          <w:lang w:val="en-GB"/>
        </w:rPr>
        <w:t>, code no. 323330) with a purity of 99%, was supplied by Sigma Aldrich</w:t>
      </w:r>
      <w:r>
        <w:rPr>
          <w:lang w:val="en-GB"/>
        </w:rPr>
        <w:t xml:space="preserve">. Virgin PP </w:t>
      </w:r>
      <w:r w:rsidRPr="00C02F1A">
        <w:rPr>
          <w:lang w:val="en-GB"/>
        </w:rPr>
        <w:t xml:space="preserve">was </w:t>
      </w:r>
      <w:r>
        <w:rPr>
          <w:lang w:val="en-GB"/>
        </w:rPr>
        <w:t>obtained</w:t>
      </w:r>
      <w:r w:rsidRPr="00C02F1A">
        <w:rPr>
          <w:lang w:val="en-GB"/>
        </w:rPr>
        <w:t xml:space="preserve"> </w:t>
      </w:r>
      <w:r>
        <w:rPr>
          <w:lang w:val="en-GB"/>
        </w:rPr>
        <w:t>in pellet form (</w:t>
      </w:r>
      <w:r w:rsidRPr="00656454">
        <w:rPr>
          <w:lang w:val="en-GB"/>
        </w:rPr>
        <w:t>&lt;400 μm)</w:t>
      </w:r>
      <w:r w:rsidRPr="00070656">
        <w:rPr>
          <w:color w:val="FF0000"/>
          <w:lang w:val="en-GB"/>
        </w:rPr>
        <w:t xml:space="preserve"> </w:t>
      </w:r>
      <w:r>
        <w:rPr>
          <w:lang w:val="en-GB"/>
        </w:rPr>
        <w:t>from</w:t>
      </w:r>
      <w:r w:rsidRPr="00C02F1A">
        <w:rPr>
          <w:lang w:val="en-GB"/>
        </w:rPr>
        <w:t xml:space="preserve"> Good</w:t>
      </w:r>
      <w:r>
        <w:rPr>
          <w:lang w:val="en-GB"/>
        </w:rPr>
        <w:t>f</w:t>
      </w:r>
      <w:r w:rsidRPr="00C02F1A">
        <w:rPr>
          <w:lang w:val="en-GB"/>
        </w:rPr>
        <w:t>ellow</w:t>
      </w:r>
      <w:r>
        <w:rPr>
          <w:lang w:val="en-GB"/>
        </w:rPr>
        <w:t xml:space="preserve"> Company (code 68 no. PP306312). Single use </w:t>
      </w:r>
      <w:r w:rsidRPr="00C02F1A">
        <w:rPr>
          <w:lang w:val="en-GB"/>
        </w:rPr>
        <w:t>facemasks</w:t>
      </w:r>
      <w:r>
        <w:rPr>
          <w:lang w:val="en-GB"/>
        </w:rPr>
        <w:t xml:space="preserve"> </w:t>
      </w:r>
      <w:r w:rsidRPr="00C02F1A">
        <w:rPr>
          <w:lang w:val="en-GB"/>
        </w:rPr>
        <w:t>supplied by Yeso-med (type 2R surgical facemask)</w:t>
      </w:r>
      <w:r>
        <w:rPr>
          <w:lang w:val="en-GB"/>
        </w:rPr>
        <w:t xml:space="preserve"> were used. </w:t>
      </w:r>
      <w:r w:rsidRPr="00EC33F4">
        <w:rPr>
          <w:lang w:val="en-GB"/>
        </w:rPr>
        <w:t xml:space="preserve">The virgin </w:t>
      </w:r>
      <w:r>
        <w:rPr>
          <w:lang w:val="en-GB"/>
        </w:rPr>
        <w:t>PP</w:t>
      </w:r>
      <w:r w:rsidRPr="00EC33F4">
        <w:rPr>
          <w:lang w:val="en-GB"/>
        </w:rPr>
        <w:t xml:space="preserve"> was used directly in the reactor. The three layers of the facemask </w:t>
      </w:r>
      <w:r>
        <w:rPr>
          <w:lang w:val="en-GB"/>
        </w:rPr>
        <w:t xml:space="preserve">that </w:t>
      </w:r>
      <w:r w:rsidRPr="00EC33F4">
        <w:rPr>
          <w:lang w:val="en-GB"/>
        </w:rPr>
        <w:t xml:space="preserve">are composed of </w:t>
      </w:r>
      <w:r>
        <w:rPr>
          <w:lang w:val="en-GB"/>
        </w:rPr>
        <w:t>PP</w:t>
      </w:r>
      <w:r w:rsidRPr="00EC33F4">
        <w:rPr>
          <w:lang w:val="en-GB"/>
        </w:rPr>
        <w:t xml:space="preserve">; </w:t>
      </w:r>
      <w:r>
        <w:rPr>
          <w:lang w:val="en-GB"/>
        </w:rPr>
        <w:t xml:space="preserve">these </w:t>
      </w:r>
      <w:r w:rsidRPr="00EC33F4">
        <w:rPr>
          <w:lang w:val="en-GB"/>
        </w:rPr>
        <w:t xml:space="preserve">were split initially. After that, the blue layer was cut into smaller pieces, </w:t>
      </w:r>
      <w:r>
        <w:rPr>
          <w:lang w:val="en-GB"/>
        </w:rPr>
        <w:t>and</w:t>
      </w:r>
      <w:r w:rsidRPr="00EC33F4">
        <w:rPr>
          <w:lang w:val="en-GB"/>
        </w:rPr>
        <w:t xml:space="preserve"> then placed within the reactor</w:t>
      </w:r>
      <w:r>
        <w:rPr>
          <w:lang w:val="en-GB"/>
        </w:rPr>
        <w:t>.</w:t>
      </w:r>
    </w:p>
    <w:p w14:paraId="00B0CCF6" w14:textId="77777777" w:rsidR="00920101" w:rsidRDefault="00920101" w:rsidP="00920101">
      <w:pPr>
        <w:pStyle w:val="CETheadingx"/>
      </w:pPr>
      <w:r>
        <w:t xml:space="preserve">Catalyst </w:t>
      </w:r>
      <w:r w:rsidRPr="00C63E64">
        <w:t>preparation</w:t>
      </w:r>
    </w:p>
    <w:p w14:paraId="19B3AF8B" w14:textId="77777777" w:rsidR="00920101" w:rsidRPr="002B3CF4" w:rsidRDefault="00920101" w:rsidP="00920101">
      <w:pPr>
        <w:pStyle w:val="CETBodytext"/>
      </w:pPr>
      <w:r>
        <w:t xml:space="preserve">For the synthesis of 1% Pt on USY zeolites, a known amount of the Pt precursor </w:t>
      </w:r>
      <w:r w:rsidRPr="004F6F1D">
        <w:t>tetraamine platinum (II) chloride hydrate</w:t>
      </w:r>
      <w:r>
        <w:t xml:space="preserve"> </w:t>
      </w:r>
      <w:r w:rsidRPr="004F6F1D">
        <w:t>was mixed in water (10</w:t>
      </w:r>
      <w:r>
        <w:t xml:space="preserve">0 ml) and the USY zeolite was added (10 </w:t>
      </w:r>
      <w:r w:rsidRPr="004F6F1D">
        <w:t>g). Thereafter, the mixture was stirred overnight at a temperature of 65</w:t>
      </w:r>
      <w:r>
        <w:t xml:space="preserve"> </w:t>
      </w:r>
      <w:r w:rsidRPr="004F6F1D">
        <w:t>°C to ensure dispersion of the metal on the catalyst surface and allow the slow evaporation of the water. After which the slurry was dried for 12 hours at 90°C in an oven.</w:t>
      </w:r>
      <w:r>
        <w:t xml:space="preserve"> </w:t>
      </w:r>
      <w:r w:rsidRPr="00534162">
        <w:t xml:space="preserve">The catalyst powder was </w:t>
      </w:r>
      <w:proofErr w:type="spellStart"/>
      <w:r w:rsidRPr="00534162">
        <w:t>pelletised</w:t>
      </w:r>
      <w:proofErr w:type="spellEnd"/>
      <w:r w:rsidRPr="00534162">
        <w:t xml:space="preserve"> into 200–600 µm. </w:t>
      </w:r>
      <w:r>
        <w:t xml:space="preserve">For the Beta zeolite, it was </w:t>
      </w:r>
      <w:r w:rsidRPr="00534162">
        <w:t>converted</w:t>
      </w:r>
      <w:r>
        <w:t xml:space="preserve"> from ammonium form</w:t>
      </w:r>
      <w:r w:rsidRPr="00534162">
        <w:t xml:space="preserve"> to the hydrogen form</w:t>
      </w:r>
      <w:r>
        <w:t xml:space="preserve"> by calcining in air for 5 hours at 550 </w:t>
      </w:r>
      <w:r w:rsidRPr="004F6F1D">
        <w:t>°C</w:t>
      </w:r>
      <w:r>
        <w:t>. The zeolite powder was thereafter</w:t>
      </w:r>
      <w:r w:rsidRPr="00534162">
        <w:t xml:space="preserve"> mixed with the required amount of </w:t>
      </w:r>
      <w:r>
        <w:t xml:space="preserve">Pt precursor </w:t>
      </w:r>
      <w:r w:rsidRPr="004F6F1D">
        <w:t xml:space="preserve">tetraamine platinum (II) chloride </w:t>
      </w:r>
      <w:r>
        <w:t xml:space="preserve">hydrate and </w:t>
      </w:r>
      <w:r w:rsidRPr="00534162">
        <w:t>dissolved in deionized water</w:t>
      </w:r>
      <w:r>
        <w:t xml:space="preserve"> and the protocol was as described for USY zeolite.</w:t>
      </w:r>
      <w:r w:rsidRPr="00534162">
        <w:t xml:space="preserve"> </w:t>
      </w:r>
      <w:r w:rsidRPr="004F6F1D">
        <w:t>Then the catalyst was activa</w:t>
      </w:r>
      <w:r>
        <w:t xml:space="preserve">ted in a tubular furnace at 360 </w:t>
      </w:r>
      <w:r w:rsidRPr="004F6F1D">
        <w:t>°C for 4 hours with a 1</w:t>
      </w:r>
      <w:r>
        <w:t xml:space="preserve"> °C min</w:t>
      </w:r>
      <w:r w:rsidRPr="00C978FD">
        <w:rPr>
          <w:vertAlign w:val="superscript"/>
        </w:rPr>
        <w:t>-1</w:t>
      </w:r>
      <w:r>
        <w:t xml:space="preserve"> ramping rate and a 50 cm</w:t>
      </w:r>
      <w:r w:rsidRPr="00C978FD">
        <w:rPr>
          <w:vertAlign w:val="superscript"/>
        </w:rPr>
        <w:t>3</w:t>
      </w:r>
      <w:r>
        <w:t xml:space="preserve"> </w:t>
      </w:r>
      <w:r w:rsidRPr="004F6F1D">
        <w:t>min</w:t>
      </w:r>
      <w:r w:rsidRPr="00C978FD">
        <w:rPr>
          <w:vertAlign w:val="superscript"/>
        </w:rPr>
        <w:t>-1</w:t>
      </w:r>
      <w:r w:rsidRPr="004F6F1D">
        <w:t xml:space="preserve"> H</w:t>
      </w:r>
      <w:r w:rsidRPr="004F6F1D">
        <w:rPr>
          <w:vertAlign w:val="subscript"/>
        </w:rPr>
        <w:t>2</w:t>
      </w:r>
      <w:r w:rsidRPr="004F6F1D">
        <w:t xml:space="preserve"> flow</w:t>
      </w:r>
      <w:r>
        <w:t>.</w:t>
      </w:r>
    </w:p>
    <w:p w14:paraId="1D62277D" w14:textId="77777777" w:rsidR="00920101" w:rsidRDefault="00920101" w:rsidP="00920101">
      <w:pPr>
        <w:pStyle w:val="CETheadingx"/>
      </w:pPr>
      <w:r>
        <w:t xml:space="preserve">Characterization </w:t>
      </w:r>
      <w:r w:rsidRPr="00C63E64">
        <w:t xml:space="preserve"> </w:t>
      </w:r>
    </w:p>
    <w:p w14:paraId="5991AA08" w14:textId="77777777" w:rsidR="00920101" w:rsidRPr="00175CBE" w:rsidRDefault="00920101" w:rsidP="00920101">
      <w:pPr>
        <w:pStyle w:val="CETBodytext"/>
      </w:pPr>
      <w:r w:rsidRPr="00BC3F03">
        <w:rPr>
          <w:lang w:val="en-GB"/>
        </w:rPr>
        <w:t>A VERTEX 70v FTIR Spectrometer Bruker</w:t>
      </w:r>
      <w:r>
        <w:rPr>
          <w:lang w:val="en-GB"/>
        </w:rPr>
        <w:t xml:space="preserve">, </w:t>
      </w:r>
      <w:r w:rsidRPr="00BC3F03">
        <w:rPr>
          <w:lang w:val="en-GB"/>
        </w:rPr>
        <w:t>using 32 scan</w:t>
      </w:r>
      <w:r>
        <w:rPr>
          <w:lang w:val="en-GB"/>
        </w:rPr>
        <w:t>s</w:t>
      </w:r>
      <w:r w:rsidRPr="00BC3F03">
        <w:rPr>
          <w:lang w:val="en-GB"/>
        </w:rPr>
        <w:t xml:space="preserve"> and a resolution of 4 cm</w:t>
      </w:r>
      <w:r w:rsidRPr="00BC3F03">
        <w:rPr>
          <w:vertAlign w:val="superscript"/>
          <w:lang w:val="en-GB"/>
        </w:rPr>
        <w:t>−1</w:t>
      </w:r>
      <w:r w:rsidRPr="00BC3F03">
        <w:rPr>
          <w:lang w:val="en-GB"/>
        </w:rPr>
        <w:t xml:space="preserve"> with the wavelength at range of 4000 - 400 cm</w:t>
      </w:r>
      <w:r w:rsidRPr="00BC3F03">
        <w:rPr>
          <w:vertAlign w:val="superscript"/>
          <w:lang w:val="en-GB"/>
        </w:rPr>
        <w:t>−1</w:t>
      </w:r>
      <w:r w:rsidRPr="00BC3F03">
        <w:rPr>
          <w:lang w:val="en-GB"/>
        </w:rPr>
        <w:t xml:space="preserve">) was used to obtain information on the types of functional groups present in </w:t>
      </w:r>
      <w:r>
        <w:rPr>
          <w:lang w:val="en-GB"/>
        </w:rPr>
        <w:t>the single use facemask</w:t>
      </w:r>
      <w:r w:rsidRPr="00175CBE">
        <w:t>.</w:t>
      </w:r>
      <w:r>
        <w:t xml:space="preserve"> Liquid nitrogen adsorption was used for the determination of surface area and pore characteristics of the two zeolites using the </w:t>
      </w:r>
      <w:r w:rsidRPr="00691BC6">
        <w:rPr>
          <w:lang w:val="en-GB"/>
        </w:rPr>
        <w:t xml:space="preserve">ASAP 2020 </w:t>
      </w:r>
      <w:r>
        <w:rPr>
          <w:lang w:val="en-GB"/>
        </w:rPr>
        <w:t>(</w:t>
      </w:r>
      <w:r w:rsidRPr="00691BC6">
        <w:rPr>
          <w:lang w:val="en-GB"/>
        </w:rPr>
        <w:t>Micromeritics</w:t>
      </w:r>
      <w:r>
        <w:rPr>
          <w:lang w:val="en-GB"/>
        </w:rPr>
        <w:t>).</w:t>
      </w:r>
      <w:r w:rsidRPr="00691BC6">
        <w:rPr>
          <w:lang w:val="en-GB"/>
        </w:rPr>
        <w:t xml:space="preserve"> </w:t>
      </w:r>
      <w:r>
        <w:t>The identification and crystallinity of the catalysts</w:t>
      </w:r>
      <w:r>
        <w:rPr>
          <w:lang w:val="en-GB"/>
        </w:rPr>
        <w:t xml:space="preserve"> were measured by </w:t>
      </w:r>
      <w:r>
        <w:t>X-ray diffraction (XRD)</w:t>
      </w:r>
      <w:r>
        <w:rPr>
          <w:lang w:val="en-GB"/>
        </w:rPr>
        <w:t xml:space="preserve"> D2 Phaser (Bruker) </w:t>
      </w:r>
    </w:p>
    <w:p w14:paraId="4434DF44" w14:textId="77777777" w:rsidR="00920101" w:rsidRDefault="00920101" w:rsidP="00920101">
      <w:pPr>
        <w:pStyle w:val="CETheadingx"/>
      </w:pPr>
      <w:r>
        <w:t xml:space="preserve">Thermogravimetric analysis (TGA) of pp and facemask </w:t>
      </w:r>
    </w:p>
    <w:p w14:paraId="3B661A81" w14:textId="77777777" w:rsidR="00920101" w:rsidRPr="009C3FBF" w:rsidRDefault="00920101" w:rsidP="00920101">
      <w:pPr>
        <w:pStyle w:val="CETBodytext"/>
      </w:pPr>
      <w:r w:rsidRPr="009C3FBF">
        <w:t>The TGA</w:t>
      </w:r>
      <w:r>
        <w:t xml:space="preserve"> was carried out using a</w:t>
      </w:r>
      <w:r w:rsidRPr="009C3FBF">
        <w:t xml:space="preserve"> Q5000IR</w:t>
      </w:r>
      <w:r>
        <w:t xml:space="preserve"> analyser (TA instruments) to study</w:t>
      </w:r>
      <w:r w:rsidRPr="009C3FBF">
        <w:t xml:space="preserve"> the thermal </w:t>
      </w:r>
      <w:r>
        <w:t xml:space="preserve">and catalytic </w:t>
      </w:r>
      <w:r w:rsidRPr="009C3FBF">
        <w:t xml:space="preserve">behaviour of the </w:t>
      </w:r>
      <w:r>
        <w:t>virgin PP and blue layer facemask</w:t>
      </w:r>
      <w:r w:rsidRPr="009C3FBF">
        <w:t> i</w:t>
      </w:r>
      <w:r>
        <w:t xml:space="preserve">n the temperature range of </w:t>
      </w:r>
      <w:r w:rsidRPr="009C3FBF">
        <w:t>25</w:t>
      </w:r>
      <w:r>
        <w:t>-550°C, whilst the decomposition</w:t>
      </w:r>
      <w:r w:rsidRPr="009C3FBF">
        <w:t xml:space="preserve"> was carried out in a ceramic pan with </w:t>
      </w:r>
      <w:r>
        <w:t xml:space="preserve">mixed </w:t>
      </w:r>
      <w:r w:rsidRPr="009C3FBF">
        <w:t>a 10 mg polymer and 1 mg catalyst under a 40 mL min</w:t>
      </w:r>
      <w:r w:rsidRPr="009C3FBF">
        <w:rPr>
          <w:vertAlign w:val="superscript"/>
        </w:rPr>
        <w:t>-1</w:t>
      </w:r>
      <w:r>
        <w:t xml:space="preserve"> </w:t>
      </w:r>
      <w:r w:rsidRPr="009C3FBF">
        <w:t>N</w:t>
      </w:r>
      <w:r w:rsidRPr="009C3FBF">
        <w:rPr>
          <w:vertAlign w:val="subscript"/>
        </w:rPr>
        <w:t>2</w:t>
      </w:r>
      <w:r>
        <w:t xml:space="preserve"> flow at a heating rate of 5°C min</w:t>
      </w:r>
      <w:r w:rsidRPr="009C3FBF">
        <w:rPr>
          <w:vertAlign w:val="superscript"/>
        </w:rPr>
        <w:t>-1</w:t>
      </w:r>
      <w:r w:rsidRPr="009C3FBF">
        <w:t>.</w:t>
      </w:r>
    </w:p>
    <w:p w14:paraId="5713A8CB" w14:textId="77777777" w:rsidR="00920101" w:rsidRDefault="00920101" w:rsidP="00920101">
      <w:pPr>
        <w:pStyle w:val="CETheadingx"/>
      </w:pPr>
      <w:r>
        <w:t>Hydrocracking reaction</w:t>
      </w:r>
    </w:p>
    <w:p w14:paraId="283F5D19" w14:textId="2A6B217F" w:rsidR="00920101" w:rsidRPr="00672921" w:rsidRDefault="00920101" w:rsidP="00920101">
      <w:pPr>
        <w:pStyle w:val="CETBodytext"/>
        <w:rPr>
          <w:lang w:val="en-GB"/>
        </w:rPr>
      </w:pPr>
      <w:r>
        <w:t>Hydrocracking of PP and facemask was carried out using a 300 mL stainless steel reactor (Parr Instruments) stirred by an "anchor" style stirrer</w:t>
      </w:r>
      <w:r>
        <w:rPr>
          <w:lang w:val="en-GB"/>
        </w:rPr>
        <w:t>. T</w:t>
      </w:r>
      <w:r w:rsidRPr="00A80A0A">
        <w:rPr>
          <w:lang w:val="en-GB"/>
        </w:rPr>
        <w:t>he reactor was typically fed with 10 g of polymer and 1 g of catalyst</w:t>
      </w:r>
      <w:r>
        <w:rPr>
          <w:lang w:val="en-GB"/>
        </w:rPr>
        <w:t xml:space="preserve"> (</w:t>
      </w:r>
      <w:r w:rsidRPr="00A80A0A">
        <w:rPr>
          <w:lang w:val="en-GB"/>
        </w:rPr>
        <w:t>10:1 ratio</w:t>
      </w:r>
      <w:r>
        <w:rPr>
          <w:lang w:val="en-GB"/>
        </w:rPr>
        <w:t>), thereafter it was sealed by</w:t>
      </w:r>
      <w:r w:rsidRPr="00A80A0A">
        <w:rPr>
          <w:lang w:val="en-GB"/>
        </w:rPr>
        <w:t xml:space="preserve"> careful</w:t>
      </w:r>
      <w:r>
        <w:rPr>
          <w:lang w:val="en-GB"/>
        </w:rPr>
        <w:t xml:space="preserve"> </w:t>
      </w:r>
      <w:r w:rsidRPr="00A80A0A">
        <w:rPr>
          <w:lang w:val="en-GB"/>
        </w:rPr>
        <w:t>tighten</w:t>
      </w:r>
      <w:r>
        <w:rPr>
          <w:lang w:val="en-GB"/>
        </w:rPr>
        <w:t>ing of the bolts</w:t>
      </w:r>
      <w:r w:rsidRPr="00A80A0A">
        <w:rPr>
          <w:lang w:val="en-GB"/>
        </w:rPr>
        <w:t xml:space="preserve"> to prevent leaks. After that, the reactor was flushed with H</w:t>
      </w:r>
      <w:r w:rsidRPr="00A80A0A">
        <w:rPr>
          <w:vertAlign w:val="subscript"/>
          <w:lang w:val="en-GB"/>
        </w:rPr>
        <w:t>2</w:t>
      </w:r>
      <w:r w:rsidRPr="00A80A0A">
        <w:rPr>
          <w:lang w:val="en-GB"/>
        </w:rPr>
        <w:t xml:space="preserve"> gas three times to eliminate any residual air, preventing the catalyst from deactivating o</w:t>
      </w:r>
      <w:r>
        <w:rPr>
          <w:lang w:val="en-GB"/>
        </w:rPr>
        <w:t>n</w:t>
      </w:r>
      <w:r w:rsidRPr="00A80A0A">
        <w:rPr>
          <w:lang w:val="en-GB"/>
        </w:rPr>
        <w:t xml:space="preserve"> metal oxidation </w:t>
      </w:r>
      <w:r>
        <w:rPr>
          <w:lang w:val="en-GB"/>
        </w:rPr>
        <w:t>and</w:t>
      </w:r>
      <w:r w:rsidRPr="00A80A0A">
        <w:rPr>
          <w:lang w:val="en-GB"/>
        </w:rPr>
        <w:t xml:space="preserve"> moisture absorption. The reactor was then pressurised to the required reaction pressure (20 bar, typically) and a 60</w:t>
      </w:r>
      <w:r>
        <w:rPr>
          <w:lang w:val="en-GB"/>
        </w:rPr>
        <w:t>-minute leak test was conducted</w:t>
      </w:r>
      <w:r w:rsidRPr="00A80A0A">
        <w:rPr>
          <w:lang w:val="en-GB"/>
        </w:rPr>
        <w:t xml:space="preserve">. </w:t>
      </w:r>
      <w:r>
        <w:rPr>
          <w:lang w:val="en-GB"/>
        </w:rPr>
        <w:t>The hydrocracking</w:t>
      </w:r>
      <w:r w:rsidRPr="004F3790">
        <w:rPr>
          <w:lang w:val="en-GB"/>
        </w:rPr>
        <w:t xml:space="preserve"> </w:t>
      </w:r>
      <w:r>
        <w:rPr>
          <w:lang w:val="en-GB"/>
        </w:rPr>
        <w:t xml:space="preserve">then followed </w:t>
      </w:r>
      <w:r w:rsidRPr="004F3790">
        <w:rPr>
          <w:lang w:val="en-GB"/>
        </w:rPr>
        <w:t>at temperatures between 270 and 330 °C, and with an agitation speed of 400</w:t>
      </w:r>
      <w:r>
        <w:rPr>
          <w:lang w:val="en-GB"/>
        </w:rPr>
        <w:t xml:space="preserve"> rpm. The polymer</w:t>
      </w:r>
      <w:r w:rsidRPr="004F3790">
        <w:rPr>
          <w:lang w:val="en-GB"/>
        </w:rPr>
        <w:t xml:space="preserve"> </w:t>
      </w:r>
      <w:r>
        <w:rPr>
          <w:lang w:val="en-GB"/>
        </w:rPr>
        <w:t xml:space="preserve">remained </w:t>
      </w:r>
      <w:r w:rsidRPr="004F3790">
        <w:rPr>
          <w:lang w:val="en-GB"/>
        </w:rPr>
        <w:t>isothermally constant for 30 and 60 minutes</w:t>
      </w:r>
      <w:r>
        <w:rPr>
          <w:lang w:val="en-GB"/>
        </w:rPr>
        <w:t xml:space="preserve"> at all temperatures</w:t>
      </w:r>
      <w:r w:rsidRPr="004F3790">
        <w:rPr>
          <w:lang w:val="en-GB"/>
        </w:rPr>
        <w:t>. After the reaction was complete</w:t>
      </w:r>
      <w:r>
        <w:rPr>
          <w:lang w:val="en-GB"/>
        </w:rPr>
        <w:t>d</w:t>
      </w:r>
      <w:r w:rsidRPr="004F3790">
        <w:rPr>
          <w:lang w:val="en-GB"/>
        </w:rPr>
        <w:t>, the reactor was speedily</w:t>
      </w:r>
      <w:r>
        <w:rPr>
          <w:lang w:val="en-GB"/>
        </w:rPr>
        <w:t xml:space="preserve"> cooled</w:t>
      </w:r>
      <w:r w:rsidRPr="004F3790">
        <w:rPr>
          <w:lang w:val="en-GB"/>
        </w:rPr>
        <w:t xml:space="preserve"> to room temperature by air cooling, and the reaction product</w:t>
      </w:r>
      <w:r>
        <w:rPr>
          <w:lang w:val="en-GB"/>
        </w:rPr>
        <w:t>s were collected. Finally, e</w:t>
      </w:r>
      <w:r w:rsidRPr="004F3790">
        <w:rPr>
          <w:lang w:val="en-GB"/>
        </w:rPr>
        <w:t xml:space="preserve">quation </w:t>
      </w:r>
      <w:r>
        <w:rPr>
          <w:lang w:val="en-GB"/>
        </w:rPr>
        <w:t>(</w:t>
      </w:r>
      <w:r w:rsidRPr="004F3790">
        <w:rPr>
          <w:lang w:val="en-GB"/>
        </w:rPr>
        <w:t>1</w:t>
      </w:r>
      <w:r>
        <w:rPr>
          <w:lang w:val="en-GB"/>
        </w:rPr>
        <w:t>)</w:t>
      </w:r>
      <w:r w:rsidRPr="004F3790">
        <w:rPr>
          <w:lang w:val="en-GB"/>
        </w:rPr>
        <w:t xml:space="preserve"> was used to obtain the total conversion from solid to fluid.</w:t>
      </w:r>
      <w:r w:rsidRPr="00641436">
        <w:t xml:space="preserve"> </w:t>
      </w:r>
      <w:r w:rsidRPr="00672921">
        <w:rPr>
          <w:lang w:val="en-GB"/>
        </w:rPr>
        <w:t xml:space="preserve">Gas chromatography was performed using a Varian CP3800 fitted with 50 m × 0.32 mm </w:t>
      </w:r>
      <w:proofErr w:type="spellStart"/>
      <w:r w:rsidRPr="00672921">
        <w:rPr>
          <w:lang w:val="en-GB"/>
        </w:rPr>
        <w:t>i.d.</w:t>
      </w:r>
      <w:proofErr w:type="spellEnd"/>
      <w:r w:rsidRPr="00672921">
        <w:rPr>
          <w:lang w:val="en-GB"/>
        </w:rPr>
        <w:t xml:space="preserve"> PLOT Al2O3/ </w:t>
      </w:r>
      <w:proofErr w:type="spellStart"/>
      <w:r w:rsidRPr="00672921">
        <w:rPr>
          <w:lang w:val="en-GB"/>
        </w:rPr>
        <w:t>KCl</w:t>
      </w:r>
      <w:proofErr w:type="spellEnd"/>
      <w:r w:rsidRPr="00672921">
        <w:rPr>
          <w:lang w:val="en-GB"/>
        </w:rPr>
        <w:t xml:space="preserve"> capillary column (gaseous samples) and an Agilent Technologies 6890N Network GC fitted with a 100 m × 0.25 </w:t>
      </w:r>
      <w:proofErr w:type="spellStart"/>
      <w:r w:rsidRPr="00672921">
        <w:rPr>
          <w:lang w:val="en-GB"/>
        </w:rPr>
        <w:t>i.d.</w:t>
      </w:r>
      <w:proofErr w:type="spellEnd"/>
      <w:r w:rsidRPr="00672921">
        <w:rPr>
          <w:lang w:val="en-GB"/>
        </w:rPr>
        <w:t xml:space="preserve"> PONA CB column</w:t>
      </w:r>
      <w:r w:rsidR="008C25C1">
        <w:rPr>
          <w:lang w:val="en-GB"/>
        </w:rPr>
        <w:t xml:space="preserve"> (</w:t>
      </w:r>
      <w:r w:rsidRPr="00672921">
        <w:rPr>
          <w:lang w:val="en-GB"/>
        </w:rPr>
        <w:t>liquid samples</w:t>
      </w:r>
      <w:r w:rsidR="008C25C1">
        <w:rPr>
          <w:lang w:val="en-GB"/>
        </w:rPr>
        <w:t>).</w:t>
      </w:r>
    </w:p>
    <w:tbl>
      <w:tblPr>
        <w:tblW w:w="5000" w:type="pct"/>
        <w:tblLook w:val="04A0" w:firstRow="1" w:lastRow="0" w:firstColumn="1" w:lastColumn="0" w:noHBand="0" w:noVBand="1"/>
      </w:tblPr>
      <w:tblGrid>
        <w:gridCol w:w="8249"/>
        <w:gridCol w:w="821"/>
      </w:tblGrid>
      <w:tr w:rsidR="00920101" w:rsidRPr="00B57B36" w14:paraId="395DC981" w14:textId="77777777" w:rsidTr="005D1460">
        <w:tc>
          <w:tcPr>
            <w:tcW w:w="8188" w:type="dxa"/>
            <w:shd w:val="clear" w:color="auto" w:fill="auto"/>
            <w:vAlign w:val="center"/>
          </w:tcPr>
          <w:p w14:paraId="21E34A65" w14:textId="77777777" w:rsidR="00920101" w:rsidRPr="008A2BF0" w:rsidRDefault="00920101" w:rsidP="005D1460">
            <w:pPr>
              <w:pStyle w:val="CETEquation"/>
            </w:pPr>
            <m:oMathPara>
              <m:oMathParaPr>
                <m:jc m:val="left"/>
              </m:oMathParaPr>
              <m:oMath>
                <m:r>
                  <w:rPr>
                    <w:rFonts w:ascii="Cambria Math" w:hAnsi="Cambria Math" w:cs="Cambria Math"/>
                  </w:rPr>
                  <m:t>Conversion %</m:t>
                </m:r>
                <m:r>
                  <m:rPr>
                    <m:sty m:val="p"/>
                  </m:rPr>
                  <w:rPr>
                    <w:rFonts w:ascii="Cambria Math" w:hAnsi="Cambria Math" w:cs="Cambria Math"/>
                  </w:rPr>
                  <m:t>=</m:t>
                </m:r>
                <m:f>
                  <m:fPr>
                    <m:ctrlPr>
                      <w:rPr>
                        <w:rFonts w:ascii="Cambria Math" w:hAnsi="Cambria Math"/>
                      </w:rPr>
                    </m:ctrlPr>
                  </m:fPr>
                  <m:num>
                    <m:r>
                      <w:rPr>
                        <w:rFonts w:ascii="Cambria Math" w:hAnsi="Cambria Math"/>
                      </w:rPr>
                      <m:t xml:space="preserve">Solid </m:t>
                    </m:r>
                    <m:d>
                      <m:dPr>
                        <m:ctrlPr>
                          <w:rPr>
                            <w:rFonts w:ascii="Cambria Math" w:hAnsi="Cambria Math"/>
                            <w:i/>
                          </w:rPr>
                        </m:ctrlPr>
                      </m:dPr>
                      <m:e>
                        <m:r>
                          <w:rPr>
                            <w:rFonts w:ascii="Cambria Math" w:hAnsi="Cambria Math"/>
                          </w:rPr>
                          <m:t>out</m:t>
                        </m:r>
                      </m:e>
                    </m:d>
                    <m:r>
                      <w:rPr>
                        <w:rFonts w:ascii="Cambria Math" w:hAnsi="Cambria Math"/>
                      </w:rPr>
                      <m:t xml:space="preserve">-( Polymer (in)+ Catalyst </m:t>
                    </m:r>
                    <m:d>
                      <m:dPr>
                        <m:ctrlPr>
                          <w:rPr>
                            <w:rFonts w:ascii="Cambria Math" w:hAnsi="Cambria Math"/>
                            <w:i/>
                          </w:rPr>
                        </m:ctrlPr>
                      </m:dPr>
                      <m:e>
                        <m:r>
                          <w:rPr>
                            <w:rFonts w:ascii="Cambria Math" w:hAnsi="Cambria Math"/>
                          </w:rPr>
                          <m:t>in</m:t>
                        </m:r>
                      </m:e>
                    </m:d>
                    <m:r>
                      <w:rPr>
                        <w:rFonts w:ascii="Cambria Math" w:hAnsi="Cambria Math"/>
                      </w:rPr>
                      <m:t>)</m:t>
                    </m:r>
                  </m:num>
                  <m:den>
                    <m:r>
                      <w:rPr>
                        <w:rFonts w:ascii="Cambria Math" w:hAnsi="Cambria Math"/>
                      </w:rPr>
                      <m:t xml:space="preserve">Polymer </m:t>
                    </m:r>
                    <m:d>
                      <m:dPr>
                        <m:ctrlPr>
                          <w:rPr>
                            <w:rFonts w:ascii="Cambria Math" w:hAnsi="Cambria Math"/>
                            <w:i/>
                          </w:rPr>
                        </m:ctrlPr>
                      </m:dPr>
                      <m:e>
                        <m:r>
                          <w:rPr>
                            <w:rFonts w:ascii="Cambria Math" w:hAnsi="Cambria Math"/>
                          </w:rPr>
                          <m:t>in</m:t>
                        </m:r>
                      </m:e>
                    </m:d>
                  </m:den>
                </m:f>
                <m:r>
                  <w:rPr>
                    <w:rFonts w:ascii="Cambria Math" w:hAnsi="Cambria Math"/>
                  </w:rPr>
                  <m:t xml:space="preserve"> ×100</m:t>
                </m:r>
              </m:oMath>
            </m:oMathPara>
          </w:p>
        </w:tc>
        <w:tc>
          <w:tcPr>
            <w:tcW w:w="815" w:type="dxa"/>
            <w:shd w:val="clear" w:color="auto" w:fill="auto"/>
            <w:vAlign w:val="center"/>
          </w:tcPr>
          <w:p w14:paraId="27A9D504" w14:textId="77777777" w:rsidR="00920101" w:rsidRPr="00B57B36" w:rsidRDefault="00920101" w:rsidP="005D1460">
            <w:pPr>
              <w:pStyle w:val="CETEquation"/>
              <w:jc w:val="right"/>
            </w:pPr>
            <w:r w:rsidRPr="00B57B36">
              <w:t>(1)</w:t>
            </w:r>
          </w:p>
        </w:tc>
      </w:tr>
    </w:tbl>
    <w:p w14:paraId="5E08258A" w14:textId="77777777" w:rsidR="00920101" w:rsidRPr="00B17F83" w:rsidRDefault="00920101" w:rsidP="00920101">
      <w:pPr>
        <w:pStyle w:val="CETHeading1"/>
        <w:tabs>
          <w:tab w:val="right" w:pos="7100"/>
        </w:tabs>
        <w:jc w:val="both"/>
        <w:rPr>
          <w:color w:val="000000" w:themeColor="text1"/>
          <w:lang w:val="en-GB"/>
        </w:rPr>
      </w:pPr>
      <w:r w:rsidRPr="00B17F83">
        <w:rPr>
          <w:color w:val="000000" w:themeColor="text1"/>
          <w:lang w:val="en-GB"/>
        </w:rPr>
        <w:lastRenderedPageBreak/>
        <w:t>Results and discussion</w:t>
      </w:r>
    </w:p>
    <w:p w14:paraId="79950A80" w14:textId="77777777" w:rsidR="00920101" w:rsidRDefault="00920101" w:rsidP="00920101">
      <w:pPr>
        <w:pStyle w:val="CETheadingx"/>
      </w:pPr>
      <w:r w:rsidRPr="00C63E64">
        <w:t xml:space="preserve">Characterization results  </w:t>
      </w:r>
    </w:p>
    <w:p w14:paraId="65C0DBDD" w14:textId="77777777" w:rsidR="00920101" w:rsidRDefault="00920101" w:rsidP="00920101">
      <w:pPr>
        <w:pStyle w:val="CETBodytext"/>
        <w:rPr>
          <w:lang w:val="en-GB"/>
        </w:rPr>
      </w:pPr>
      <w:r w:rsidRPr="00387FEE">
        <w:rPr>
          <w:lang w:val="en-GB"/>
        </w:rPr>
        <w:t xml:space="preserve">The disposable face mask was </w:t>
      </w:r>
      <w:r>
        <w:rPr>
          <w:lang w:val="en-GB"/>
        </w:rPr>
        <w:t>separated</w:t>
      </w:r>
      <w:r w:rsidRPr="00387FEE">
        <w:rPr>
          <w:lang w:val="en-GB"/>
        </w:rPr>
        <w:t xml:space="preserve"> into 5 parts </w:t>
      </w:r>
      <w:r>
        <w:rPr>
          <w:lang w:val="en-GB"/>
        </w:rPr>
        <w:t>a</w:t>
      </w:r>
      <w:r w:rsidRPr="00387FEE">
        <w:rPr>
          <w:lang w:val="en-GB"/>
        </w:rPr>
        <w:t xml:space="preserve">s shown in </w:t>
      </w:r>
      <w:r w:rsidRPr="00F80D84">
        <w:rPr>
          <w:lang w:val="en-GB"/>
        </w:rPr>
        <w:t>Figure 1</w:t>
      </w:r>
      <w:r>
        <w:rPr>
          <w:lang w:val="en-GB"/>
        </w:rPr>
        <w:t>A.</w:t>
      </w:r>
      <w:r w:rsidRPr="00387FEE">
        <w:rPr>
          <w:lang w:val="en-GB"/>
        </w:rPr>
        <w:t xml:space="preserve"> </w:t>
      </w:r>
      <w:r>
        <w:rPr>
          <w:lang w:val="en-GB"/>
        </w:rPr>
        <w:t>T</w:t>
      </w:r>
      <w:r w:rsidRPr="00387FEE">
        <w:rPr>
          <w:lang w:val="en-GB"/>
        </w:rPr>
        <w:t>he filter layers 1-3 show</w:t>
      </w:r>
      <w:r>
        <w:rPr>
          <w:lang w:val="en-GB"/>
        </w:rPr>
        <w:t>ing</w:t>
      </w:r>
      <w:r w:rsidRPr="00387FEE">
        <w:rPr>
          <w:lang w:val="en-GB"/>
        </w:rPr>
        <w:t xml:space="preserve"> identical peaks in the two ranges of (2950-2836) cm</w:t>
      </w:r>
      <w:r w:rsidRPr="00F56EEE">
        <w:rPr>
          <w:vertAlign w:val="superscript"/>
          <w:lang w:val="en-GB"/>
        </w:rPr>
        <w:t>−1</w:t>
      </w:r>
      <w:r w:rsidRPr="00387FEE">
        <w:rPr>
          <w:lang w:val="en-GB"/>
        </w:rPr>
        <w:t xml:space="preserve"> (CH</w:t>
      </w:r>
      <w:r w:rsidRPr="00F56EEE">
        <w:rPr>
          <w:vertAlign w:val="subscript"/>
          <w:lang w:val="en-GB"/>
        </w:rPr>
        <w:t>3</w:t>
      </w:r>
      <w:r w:rsidRPr="00387FEE">
        <w:rPr>
          <w:lang w:val="en-GB"/>
        </w:rPr>
        <w:t xml:space="preserve"> asymmetrical stretching and CH</w:t>
      </w:r>
      <w:r w:rsidRPr="00F56EEE">
        <w:rPr>
          <w:vertAlign w:val="subscript"/>
          <w:lang w:val="en-GB"/>
        </w:rPr>
        <w:t>3</w:t>
      </w:r>
      <w:r w:rsidRPr="00387FEE">
        <w:rPr>
          <w:lang w:val="en-GB"/>
        </w:rPr>
        <w:t xml:space="preserve"> stretching respectively), symmetrical bending CH</w:t>
      </w:r>
      <w:r w:rsidRPr="00F56EEE">
        <w:rPr>
          <w:vertAlign w:val="subscript"/>
          <w:lang w:val="en-GB"/>
        </w:rPr>
        <w:t>3</w:t>
      </w:r>
      <w:r w:rsidRPr="00387FEE">
        <w:rPr>
          <w:lang w:val="en-GB"/>
        </w:rPr>
        <w:t xml:space="preserve"> at 1456 cm</w:t>
      </w:r>
      <w:r w:rsidRPr="00F56EEE">
        <w:rPr>
          <w:vertAlign w:val="superscript"/>
          <w:lang w:val="en-GB"/>
        </w:rPr>
        <w:t>−1</w:t>
      </w:r>
      <w:r w:rsidRPr="00387FEE">
        <w:rPr>
          <w:lang w:val="en-GB"/>
        </w:rPr>
        <w:t xml:space="preserve"> and C-C at 806 cm</w:t>
      </w:r>
      <w:r w:rsidRPr="00F56EEE">
        <w:rPr>
          <w:vertAlign w:val="superscript"/>
          <w:lang w:val="en-GB"/>
        </w:rPr>
        <w:t>−1</w:t>
      </w:r>
      <w:r w:rsidRPr="00387FEE">
        <w:rPr>
          <w:lang w:val="en-GB"/>
        </w:rPr>
        <w:t>, which are characteristic FTIR peaks of polypropylene</w:t>
      </w:r>
      <w:r>
        <w:rPr>
          <w:lang w:val="en-GB"/>
        </w:rPr>
        <w:t xml:space="preserve"> (Figure 1B)</w:t>
      </w:r>
      <w:r w:rsidRPr="00387FEE">
        <w:rPr>
          <w:lang w:val="en-GB"/>
        </w:rPr>
        <w:t xml:space="preserve">. </w:t>
      </w:r>
      <w:r w:rsidRPr="00FF4F6E">
        <w:rPr>
          <w:lang w:val="en-GB"/>
        </w:rPr>
        <w:t xml:space="preserve">The nose wire covering had identical peaks at </w:t>
      </w:r>
      <w:r w:rsidRPr="00FF4F6E">
        <w:rPr>
          <w:rtl/>
          <w:lang w:val="en-GB"/>
        </w:rPr>
        <w:t>2916</w:t>
      </w:r>
      <w:r w:rsidRPr="00FF4F6E">
        <w:rPr>
          <w:lang w:val="en-GB"/>
        </w:rPr>
        <w:t xml:space="preserve"> cm</w:t>
      </w:r>
      <w:r w:rsidRPr="00F56EEE">
        <w:rPr>
          <w:vertAlign w:val="superscript"/>
          <w:lang w:val="en-GB"/>
        </w:rPr>
        <w:t>-1</w:t>
      </w:r>
      <w:r w:rsidRPr="00FF4F6E">
        <w:rPr>
          <w:lang w:val="en-GB"/>
        </w:rPr>
        <w:t xml:space="preserve"> which is the methylene asymmetric stretch, whereas the peak at 2847 cm</w:t>
      </w:r>
      <w:r w:rsidRPr="00F56EEE">
        <w:rPr>
          <w:vertAlign w:val="superscript"/>
          <w:lang w:val="en-GB"/>
        </w:rPr>
        <w:t>-1</w:t>
      </w:r>
      <w:r w:rsidRPr="00FF4F6E">
        <w:rPr>
          <w:lang w:val="en-GB"/>
        </w:rPr>
        <w:t xml:space="preserve"> is the symmetric stretch. At 1465 cm</w:t>
      </w:r>
      <w:r w:rsidRPr="00F56EEE">
        <w:rPr>
          <w:vertAlign w:val="superscript"/>
          <w:lang w:val="en-GB"/>
        </w:rPr>
        <w:t>-1</w:t>
      </w:r>
      <w:r w:rsidRPr="00FF4F6E">
        <w:rPr>
          <w:lang w:val="en-GB"/>
        </w:rPr>
        <w:t xml:space="preserve"> CH</w:t>
      </w:r>
      <w:r w:rsidRPr="00F56EEE">
        <w:rPr>
          <w:vertAlign w:val="subscript"/>
          <w:lang w:val="en-GB"/>
        </w:rPr>
        <w:t>2</w:t>
      </w:r>
      <w:r w:rsidRPr="00FF4F6E">
        <w:rPr>
          <w:lang w:val="en-GB"/>
        </w:rPr>
        <w:t xml:space="preserve"> </w:t>
      </w:r>
      <w:proofErr w:type="gramStart"/>
      <w:r w:rsidRPr="00FF4F6E">
        <w:rPr>
          <w:lang w:val="en-GB"/>
        </w:rPr>
        <w:t>bending</w:t>
      </w:r>
      <w:proofErr w:type="gramEnd"/>
      <w:r w:rsidRPr="00FF4F6E">
        <w:rPr>
          <w:lang w:val="en-GB"/>
        </w:rPr>
        <w:t xml:space="preserve"> and 717 cm</w:t>
      </w:r>
      <w:r w:rsidRPr="00F56EEE">
        <w:rPr>
          <w:vertAlign w:val="superscript"/>
          <w:lang w:val="en-GB"/>
        </w:rPr>
        <w:t>-1</w:t>
      </w:r>
      <w:r w:rsidRPr="00FF4F6E">
        <w:rPr>
          <w:lang w:val="en-GB"/>
        </w:rPr>
        <w:t xml:space="preserve"> split CH bending</w:t>
      </w:r>
      <w:r>
        <w:rPr>
          <w:lang w:val="en-GB"/>
        </w:rPr>
        <w:t xml:space="preserve"> in Figure 1C</w:t>
      </w:r>
      <w:r w:rsidRPr="00FF4F6E">
        <w:rPr>
          <w:lang w:val="en-GB"/>
        </w:rPr>
        <w:t>. These peaks are similar to that of LDPE/HDPE thereby implying that the metallic covering is made from PE</w:t>
      </w:r>
      <w:r>
        <w:rPr>
          <w:lang w:val="en-GB"/>
        </w:rPr>
        <w:t xml:space="preserve"> </w:t>
      </w:r>
      <w:r w:rsidRPr="00FF4F6E">
        <w:rPr>
          <w:lang w:val="en-GB"/>
        </w:rPr>
        <w:fldChar w:fldCharType="begin"/>
      </w:r>
      <w:r>
        <w:rPr>
          <w:lang w:val="en-GB"/>
        </w:rPr>
        <w:instrText xml:space="preserve"> ADDIN EN.CITE &lt;EndNote&gt;&lt;Cite&gt;&lt;Author&gt;Jung&lt;/Author&gt;&lt;Year&gt;2018&lt;/Year&gt;&lt;RecNum&gt;94&lt;/RecNum&gt;&lt;DisplayText&gt;(Jung, Horgen et al. 2018)&lt;/DisplayText&gt;&lt;record&gt;&lt;rec-number&gt;94&lt;/rec-number&gt;&lt;foreign-keys&gt;&lt;key app="EN" db-id="wawe9awef2zr21ep5ve5w22vp5t5wa9sw9ps" timestamp="1649390770"&gt;94&lt;/key&gt;&lt;/foreign-keys&gt;&lt;ref-type name="Journal Article"&gt;17&lt;/ref-type&gt;&lt;contributors&gt;&lt;authors&gt;&lt;author&gt;Jung, Melissa R&lt;/author&gt;&lt;author&gt;Horgen, F David&lt;/author&gt;&lt;author&gt;Orski, Sara V&lt;/author&gt;&lt;author&gt;Rodriguez, Viviana&lt;/author&gt;&lt;author&gt;Beers, Kathryn L&lt;/author&gt;&lt;author&gt;Balazs, George H&lt;/author&gt;&lt;author&gt;Jones, T Todd&lt;/author&gt;&lt;author&gt;Work, Thierry M&lt;/author&gt;&lt;author&gt;Brignac, Kayla C&lt;/author&gt;&lt;author&gt;Royer, Sarah-Jeanne&lt;/author&gt;&lt;/authors&gt;&lt;/contributors&gt;&lt;titles&gt;&lt;title&gt;Validation of ATR FT-IR to identify polymers of plastic marine debris, including those ingested by marine organisms&lt;/title&gt;&lt;secondary-title&gt;Marine Pollution Bulletin&lt;/secondary-title&gt;&lt;/titles&gt;&lt;periodical&gt;&lt;full-title&gt;Marine Pollution Bulletin&lt;/full-title&gt;&lt;/periodical&gt;&lt;pages&gt;704-716&lt;/pages&gt;&lt;volume&gt;127&lt;/volume&gt;&lt;dates&gt;&lt;year&gt;2018&lt;/year&gt;&lt;/dates&gt;&lt;isbn&gt;0025-326X&lt;/isbn&gt;&lt;urls&gt;&lt;/urls&gt;&lt;/record&gt;&lt;/Cite&gt;&lt;/EndNote&gt;</w:instrText>
      </w:r>
      <w:r w:rsidRPr="00FF4F6E">
        <w:rPr>
          <w:lang w:val="en-GB"/>
        </w:rPr>
        <w:fldChar w:fldCharType="separate"/>
      </w:r>
      <w:r>
        <w:rPr>
          <w:noProof/>
          <w:lang w:val="en-GB"/>
        </w:rPr>
        <w:t>(Jung et al., 2018)</w:t>
      </w:r>
      <w:r w:rsidRPr="00FF4F6E">
        <w:rPr>
          <w:lang w:val="en-GB"/>
        </w:rPr>
        <w:fldChar w:fldCharType="end"/>
      </w:r>
      <w:r w:rsidRPr="00387FEE">
        <w:rPr>
          <w:lang w:val="en-GB"/>
        </w:rPr>
        <w:t>.</w:t>
      </w:r>
    </w:p>
    <w:p w14:paraId="32BFA7CB" w14:textId="77777777" w:rsidR="00920101" w:rsidRDefault="00920101" w:rsidP="00920101">
      <w:pPr>
        <w:pStyle w:val="CETBodytext"/>
        <w:keepNext/>
        <w:jc w:val="center"/>
      </w:pPr>
      <w:r>
        <w:rPr>
          <w:noProof/>
          <w:lang w:val="en-GB" w:eastAsia="en-GB"/>
        </w:rPr>
        <w:drawing>
          <wp:inline distT="0" distB="0" distL="0" distR="0" wp14:anchorId="2367D94D" wp14:editId="57210056">
            <wp:extent cx="4465413" cy="3095757"/>
            <wp:effectExtent l="0" t="0" r="0" b="9525"/>
            <wp:docPr id="2" name="Picture 2"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diagram, li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65413" cy="3095757"/>
                    </a:xfrm>
                    <a:prstGeom prst="rect">
                      <a:avLst/>
                    </a:prstGeom>
                  </pic:spPr>
                </pic:pic>
              </a:graphicData>
            </a:graphic>
          </wp:inline>
        </w:drawing>
      </w:r>
    </w:p>
    <w:p w14:paraId="7D94EFE8" w14:textId="77777777" w:rsidR="00920101" w:rsidRDefault="00920101" w:rsidP="00920101">
      <w:pPr>
        <w:pStyle w:val="CETCaption"/>
        <w:tabs>
          <w:tab w:val="left" w:pos="7513"/>
        </w:tabs>
        <w:spacing w:after="0" w:line="276" w:lineRule="auto"/>
        <w:ind w:right="1273"/>
        <w:jc w:val="left"/>
      </w:pPr>
      <w:r w:rsidRPr="0007119B">
        <w:t xml:space="preserve">Figure </w:t>
      </w:r>
      <w:fldSimple w:instr=" SEQ Figure \* ARABIC ">
        <w:r w:rsidRPr="0007119B">
          <w:t>1</w:t>
        </w:r>
      </w:fldSimple>
      <w:r w:rsidRPr="0007119B">
        <w:t>:</w:t>
      </w:r>
      <w:r>
        <w:t xml:space="preserve"> </w:t>
      </w:r>
      <w:r w:rsidRPr="00812BB4">
        <w:t>(A) a photo of the dismantled facemask, (B) FTIR of PP and the facemask three layers, (C) FTIR of PE and the facemask ear strap, (D) FTIR of PET and the facemask nose wire</w:t>
      </w:r>
    </w:p>
    <w:p w14:paraId="55C49D54" w14:textId="77777777" w:rsidR="00920101" w:rsidRPr="00465F7F" w:rsidRDefault="00920101" w:rsidP="00920101">
      <w:pPr>
        <w:pStyle w:val="CETCaption"/>
        <w:tabs>
          <w:tab w:val="left" w:pos="7513"/>
        </w:tabs>
        <w:spacing w:after="0" w:line="276" w:lineRule="auto"/>
        <w:ind w:right="1273"/>
        <w:jc w:val="left"/>
        <w:rPr>
          <w:sz w:val="2"/>
          <w:szCs w:val="2"/>
        </w:rPr>
      </w:pPr>
    </w:p>
    <w:p w14:paraId="72D477B4" w14:textId="77777777" w:rsidR="00920101" w:rsidRDefault="00920101" w:rsidP="00920101">
      <w:pPr>
        <w:pStyle w:val="CETBodytext"/>
        <w:spacing w:line="276" w:lineRule="auto"/>
        <w:rPr>
          <w:lang w:val="en-GB"/>
        </w:rPr>
      </w:pPr>
      <w:r w:rsidRPr="00387FEE">
        <w:rPr>
          <w:lang w:val="en-GB"/>
        </w:rPr>
        <w:t xml:space="preserve">The peaks of ear strap were identical to PET as shown in Figure </w:t>
      </w:r>
      <w:r>
        <w:rPr>
          <w:lang w:val="en-GB"/>
        </w:rPr>
        <w:t>1D</w:t>
      </w:r>
      <w:r w:rsidRPr="00387FEE">
        <w:rPr>
          <w:lang w:val="en-GB"/>
        </w:rPr>
        <w:t xml:space="preserve"> as the presence of a carbonyl group in conjugation with an aromatic ring appears at 1715 </w:t>
      </w:r>
      <w:proofErr w:type="gramStart"/>
      <w:r w:rsidRPr="00387FEE">
        <w:rPr>
          <w:lang w:val="en-GB"/>
        </w:rPr>
        <w:t>cm</w:t>
      </w:r>
      <w:r w:rsidRPr="005D680D">
        <w:rPr>
          <w:vertAlign w:val="superscript"/>
          <w:lang w:val="en-GB"/>
        </w:rPr>
        <w:t>-1</w:t>
      </w:r>
      <w:proofErr w:type="gramEnd"/>
      <w:r w:rsidRPr="00387FEE">
        <w:rPr>
          <w:lang w:val="en-GB"/>
        </w:rPr>
        <w:t>. The asymmetric C-C-O stretching involving the carbon in the aromatic ring produces the second strongest peak at 1240 cm</w:t>
      </w:r>
      <w:r w:rsidRPr="00F56EEE">
        <w:rPr>
          <w:vertAlign w:val="superscript"/>
          <w:lang w:val="en-GB"/>
        </w:rPr>
        <w:t>-1</w:t>
      </w:r>
      <w:r w:rsidRPr="00387FEE">
        <w:rPr>
          <w:lang w:val="en-GB"/>
        </w:rPr>
        <w:t>. At 720 cm</w:t>
      </w:r>
      <w:r w:rsidRPr="005D680D">
        <w:rPr>
          <w:vertAlign w:val="superscript"/>
          <w:lang w:val="en-GB"/>
        </w:rPr>
        <w:t>-1</w:t>
      </w:r>
      <w:r w:rsidRPr="00387FEE">
        <w:rPr>
          <w:lang w:val="en-GB"/>
        </w:rPr>
        <w:t>, the aromatic C-H wagging appears, and at 1092 cm</w:t>
      </w:r>
      <w:r w:rsidRPr="005D680D">
        <w:rPr>
          <w:vertAlign w:val="superscript"/>
          <w:lang w:val="en-GB"/>
        </w:rPr>
        <w:t>-1</w:t>
      </w:r>
      <w:r w:rsidRPr="00387FEE">
        <w:rPr>
          <w:lang w:val="en-GB"/>
        </w:rPr>
        <w:t>, the O-C-C asymmetric stretching is split, implying that the ear strap also made of  PET</w:t>
      </w:r>
      <w:r>
        <w:rPr>
          <w:lang w:val="en-GB"/>
        </w:rPr>
        <w:t xml:space="preserve"> </w:t>
      </w:r>
      <w:r w:rsidRPr="00387FEE">
        <w:rPr>
          <w:lang w:val="en-GB"/>
        </w:rPr>
        <w:fldChar w:fldCharType="begin"/>
      </w:r>
      <w:r>
        <w:rPr>
          <w:lang w:val="en-GB"/>
        </w:rPr>
        <w:instrText xml:space="preserve"> ADDIN EN.CITE &lt;EndNote&gt;&lt;Cite&gt;&lt;Author&gt;Vijayakumar&lt;/Author&gt;&lt;Year&gt;2012&lt;/Year&gt;&lt;RecNum&gt;99&lt;/RecNum&gt;&lt;DisplayText&gt;(Vijayakumar and Rajakumar 2012)&lt;/DisplayText&gt;&lt;record&gt;&lt;rec-number&gt;99&lt;/rec-number&gt;&lt;foreign-keys&gt;&lt;key app="EN" db-id="wawe9awef2zr21ep5ve5w22vp5t5wa9sw9ps" timestamp="1650555609"&gt;99&lt;/key&gt;&lt;/foreign-keys&gt;&lt;ref-type name="Journal Article"&gt;17&lt;/ref-type&gt;&lt;contributors&gt;&lt;authors&gt;&lt;author&gt;Vijayakumar, S&lt;/author&gt;&lt;author&gt;Rajakumar, PR&lt;/author&gt;&lt;/authors&gt;&lt;/contributors&gt;&lt;titles&gt;&lt;title&gt;Infrared spectral analysis of waste pet samples&lt;/title&gt;&lt;secondary-title&gt;International Letters of Chemistry, Physics and Astronomy&lt;/secondary-title&gt;&lt;/titles&gt;&lt;periodical&gt;&lt;full-title&gt;International Letters of Chemistry, Physics and Astronomy&lt;/full-title&gt;&lt;/periodical&gt;&lt;pages&gt;58-65&lt;/pages&gt;&lt;volume&gt;4&lt;/volume&gt;&lt;dates&gt;&lt;year&gt;2012&lt;/year&gt;&lt;/dates&gt;&lt;isbn&gt;2299-3843&lt;/isbn&gt;&lt;urls&gt;&lt;/urls&gt;&lt;/record&gt;&lt;/Cite&gt;&lt;/EndNote&gt;</w:instrText>
      </w:r>
      <w:r w:rsidRPr="00387FEE">
        <w:rPr>
          <w:lang w:val="en-GB"/>
        </w:rPr>
        <w:fldChar w:fldCharType="separate"/>
      </w:r>
      <w:r>
        <w:rPr>
          <w:noProof/>
          <w:lang w:val="en-GB"/>
        </w:rPr>
        <w:t>(Vijayakumar and Rajakumar 2012)</w:t>
      </w:r>
      <w:r w:rsidRPr="00387FEE">
        <w:rPr>
          <w:lang w:val="en-GB"/>
        </w:rPr>
        <w:fldChar w:fldCharType="end"/>
      </w:r>
      <w:r>
        <w:rPr>
          <w:lang w:val="en-GB"/>
        </w:rPr>
        <w:t>.</w:t>
      </w:r>
    </w:p>
    <w:p w14:paraId="5C012C93" w14:textId="77777777" w:rsidR="00920101" w:rsidRDefault="00920101" w:rsidP="00920101">
      <w:pPr>
        <w:pStyle w:val="CETBodytext"/>
        <w:keepNext/>
        <w:spacing w:line="276" w:lineRule="auto"/>
        <w:ind w:hanging="426"/>
      </w:pPr>
      <w:r>
        <w:rPr>
          <w:noProof/>
          <w:lang w:val="en-GB" w:eastAsia="en-GB"/>
        </w:rPr>
        <w:drawing>
          <wp:inline distT="0" distB="0" distL="0" distR="0" wp14:anchorId="6EE5E756" wp14:editId="6639F889">
            <wp:extent cx="6371906" cy="1798465"/>
            <wp:effectExtent l="0" t="0" r="0" b="0"/>
            <wp:docPr id="3" name="Picture 3" descr="A picture containing font, handwriting,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nt, handwriting, graph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71906" cy="1798465"/>
                    </a:xfrm>
                    <a:prstGeom prst="rect">
                      <a:avLst/>
                    </a:prstGeom>
                  </pic:spPr>
                </pic:pic>
              </a:graphicData>
            </a:graphic>
          </wp:inline>
        </w:drawing>
      </w:r>
    </w:p>
    <w:p w14:paraId="3417EABB" w14:textId="77777777" w:rsidR="00920101" w:rsidRDefault="00920101" w:rsidP="00920101">
      <w:pPr>
        <w:pStyle w:val="CETCaption"/>
        <w:ind w:right="139"/>
        <w:jc w:val="left"/>
      </w:pPr>
      <w:r w:rsidRPr="0007119B">
        <w:t xml:space="preserve">Figure </w:t>
      </w:r>
      <w:r>
        <w:t>2</w:t>
      </w:r>
      <w:r w:rsidRPr="0007119B">
        <w:t>: (</w:t>
      </w:r>
      <w:r w:rsidRPr="00F56C00">
        <w:t>A+B) the XRD for zeolites USY and Beta, impregnated with 1%wt Pt. (C) BET-N</w:t>
      </w:r>
      <w:r w:rsidRPr="00F56EEE">
        <w:rPr>
          <w:vertAlign w:val="subscript"/>
        </w:rPr>
        <w:t>2</w:t>
      </w:r>
      <w:r w:rsidRPr="00F56C00">
        <w:t>-adsorption/desorption isotherms curves for zeolites Beta and USY</w:t>
      </w:r>
    </w:p>
    <w:p w14:paraId="1494CDEB" w14:textId="77777777" w:rsidR="00920101" w:rsidRPr="008622B6" w:rsidRDefault="00920101" w:rsidP="00920101">
      <w:pPr>
        <w:pStyle w:val="CETBodytext"/>
        <w:spacing w:before="240"/>
      </w:pPr>
      <w:r w:rsidRPr="00403424">
        <w:rPr>
          <w:rFonts w:cs="Arial"/>
        </w:rPr>
        <w:t>Figure 2 (A-B) displays the XRD patterns of the zeolites and compares the crystallinity of the modified zeolites with each of their parent forms. The average particle size was calculated using the simplified Scherrer equation to be around 20 nm, and the Pt diffraction peaks are reflected at 2θ = 39.66°, 46.21°, and 69.49°. However</w:t>
      </w:r>
      <w:r>
        <w:rPr>
          <w:rFonts w:cs="Arial"/>
        </w:rPr>
        <w:t>,</w:t>
      </w:r>
      <w:r w:rsidRPr="00403424">
        <w:rPr>
          <w:rFonts w:cs="Arial"/>
        </w:rPr>
        <w:t xml:space="preserve"> </w:t>
      </w:r>
      <w:proofErr w:type="gramStart"/>
      <w:r w:rsidRPr="00403424">
        <w:rPr>
          <w:rFonts w:cs="Arial"/>
        </w:rPr>
        <w:t xml:space="preserve">it is clear that </w:t>
      </w:r>
      <w:r w:rsidRPr="00403424">
        <w:rPr>
          <w:rFonts w:cs="Arial"/>
        </w:rPr>
        <w:lastRenderedPageBreak/>
        <w:t>the</w:t>
      </w:r>
      <w:proofErr w:type="gramEnd"/>
      <w:r w:rsidRPr="00403424">
        <w:rPr>
          <w:rFonts w:cs="Arial"/>
        </w:rPr>
        <w:t xml:space="preserve"> crystallinity of the zeolites structure was not alter</w:t>
      </w:r>
      <w:r>
        <w:rPr>
          <w:rFonts w:cs="Arial"/>
        </w:rPr>
        <w:t>ed despite the introduction of P</w:t>
      </w:r>
      <w:r w:rsidRPr="00403424">
        <w:rPr>
          <w:rFonts w:cs="Arial"/>
        </w:rPr>
        <w:t>latinum</w:t>
      </w:r>
      <w:r w:rsidRPr="00AA191D">
        <w:rPr>
          <w:rFonts w:cs="Arial"/>
        </w:rPr>
        <w:t>. </w:t>
      </w:r>
      <w:r w:rsidRPr="00460079">
        <w:rPr>
          <w:rFonts w:cs="Arial"/>
        </w:rPr>
        <w:t>The N</w:t>
      </w:r>
      <w:r w:rsidRPr="00F56EEE">
        <w:rPr>
          <w:rFonts w:cs="Arial"/>
          <w:vertAlign w:val="subscript"/>
        </w:rPr>
        <w:t>2</w:t>
      </w:r>
      <w:r w:rsidRPr="00460079">
        <w:rPr>
          <w:rFonts w:cs="Arial"/>
        </w:rPr>
        <w:t xml:space="preserve"> adsorption-desorption isotherms for zeolites Beta and USY are shown in </w:t>
      </w:r>
      <w:r w:rsidRPr="006038D6">
        <w:rPr>
          <w:rFonts w:cs="Arial"/>
        </w:rPr>
        <w:t>Figure 2</w:t>
      </w:r>
      <w:r>
        <w:rPr>
          <w:rFonts w:cs="Arial"/>
        </w:rPr>
        <w:t>C</w:t>
      </w:r>
      <w:r w:rsidRPr="00460079">
        <w:rPr>
          <w:rFonts w:cs="Arial"/>
        </w:rPr>
        <w:t>. The isotherms for the Beta zeolite indicate a steep rise at very low relative pressure, indicating the presence of micropores. The rise in USY zeolite is lower that of zeolite beta but both zeolites portray N</w:t>
      </w:r>
      <w:r w:rsidRPr="00F56EEE">
        <w:rPr>
          <w:rFonts w:cs="Arial"/>
          <w:vertAlign w:val="subscript"/>
        </w:rPr>
        <w:t>2</w:t>
      </w:r>
      <w:r w:rsidRPr="00460079">
        <w:rPr>
          <w:rFonts w:cs="Arial"/>
        </w:rPr>
        <w:t xml:space="preserve"> adsorption and desorption isotherms that can be associated as type IV. Furthermore, the hysteresis loop arising at P/P</w:t>
      </w:r>
      <w:r w:rsidRPr="00F56EEE">
        <w:rPr>
          <w:rFonts w:cs="Arial"/>
          <w:vertAlign w:val="subscript"/>
        </w:rPr>
        <w:t>0</w:t>
      </w:r>
      <w:r w:rsidRPr="00460079">
        <w:rPr>
          <w:rFonts w:cs="Arial"/>
        </w:rPr>
        <w:t xml:space="preserve"> &gt; 0.4 is clearly apparent for zeolite USY, indicating that mesopores are formed by acid tr</w:t>
      </w:r>
      <w:r>
        <w:rPr>
          <w:rFonts w:cs="Arial"/>
        </w:rPr>
        <w:t>eatment of USY zeolite (Huang</w:t>
      </w:r>
      <w:r w:rsidRPr="00460079">
        <w:rPr>
          <w:rFonts w:cs="Arial"/>
        </w:rPr>
        <w:t xml:space="preserve"> et al.</w:t>
      </w:r>
      <w:r>
        <w:rPr>
          <w:rFonts w:cs="Arial"/>
        </w:rPr>
        <w:t>,</w:t>
      </w:r>
      <w:r w:rsidRPr="00460079">
        <w:rPr>
          <w:rFonts w:cs="Arial"/>
        </w:rPr>
        <w:t xml:space="preserve"> 2017).</w:t>
      </w:r>
    </w:p>
    <w:p w14:paraId="2BAC7CE0" w14:textId="77777777" w:rsidR="00920101" w:rsidRDefault="00920101" w:rsidP="00920101">
      <w:pPr>
        <w:pStyle w:val="CETheadingx"/>
      </w:pPr>
      <w:r>
        <w:t>Polypropylene and facemask decomposition via TGA</w:t>
      </w:r>
    </w:p>
    <w:p w14:paraId="133F6250" w14:textId="77777777" w:rsidR="00920101" w:rsidRDefault="00920101" w:rsidP="00920101">
      <w:pPr>
        <w:pStyle w:val="CETBodytext"/>
        <w:ind w:right="-2"/>
        <w:rPr>
          <w:lang w:val="en-GB"/>
        </w:rPr>
      </w:pPr>
      <w:r w:rsidRPr="003B6741">
        <w:rPr>
          <w:lang w:val="en-GB"/>
        </w:rPr>
        <w:t xml:space="preserve">The effect of </w:t>
      </w:r>
      <w:r>
        <w:rPr>
          <w:lang w:val="en-GB"/>
        </w:rPr>
        <w:t xml:space="preserve">the use of </w:t>
      </w:r>
      <w:r w:rsidRPr="003B6741">
        <w:rPr>
          <w:lang w:val="en-GB"/>
        </w:rPr>
        <w:t>catalysts during polymer degradation via TGA was obvious, with USY</w:t>
      </w:r>
      <w:r>
        <w:rPr>
          <w:lang w:val="en-GB"/>
        </w:rPr>
        <w:t xml:space="preserve"> </w:t>
      </w:r>
      <w:r w:rsidRPr="003B6741">
        <w:rPr>
          <w:lang w:val="en-GB"/>
        </w:rPr>
        <w:t>zeolite being more effective in breaking down the polymer significantly faster than zeolite Beta. In addition, this can be related to the batch reactor hydrocracking temperatures (~2</w:t>
      </w:r>
      <w:r>
        <w:rPr>
          <w:lang w:val="en-GB"/>
        </w:rPr>
        <w:t>7</w:t>
      </w:r>
      <w:r w:rsidRPr="003B6741">
        <w:rPr>
          <w:lang w:val="en-GB"/>
        </w:rPr>
        <w:t xml:space="preserve">0-330°C). These temperatures obtained from </w:t>
      </w:r>
      <w:r w:rsidRPr="008E0B81">
        <w:rPr>
          <w:lang w:val="en-GB"/>
        </w:rPr>
        <w:t xml:space="preserve">Table 1 </w:t>
      </w:r>
      <w:r w:rsidRPr="003B6741">
        <w:rPr>
          <w:lang w:val="en-GB"/>
        </w:rPr>
        <w:t>may give an indication of the thermal window for hydrocracking with two processes differ</w:t>
      </w:r>
      <w:r>
        <w:rPr>
          <w:lang w:val="en-GB"/>
        </w:rPr>
        <w:t>ing</w:t>
      </w:r>
      <w:r w:rsidRPr="003B6741">
        <w:rPr>
          <w:lang w:val="en-GB"/>
        </w:rPr>
        <w:t xml:space="preserve"> </w:t>
      </w:r>
      <w:r>
        <w:rPr>
          <w:lang w:val="en-GB"/>
        </w:rPr>
        <w:t xml:space="preserve">(namely, </w:t>
      </w:r>
      <w:r w:rsidRPr="003B6741">
        <w:rPr>
          <w:lang w:val="en-GB"/>
        </w:rPr>
        <w:t xml:space="preserve">the atmosphere </w:t>
      </w:r>
      <w:r>
        <w:rPr>
          <w:lang w:val="en-GB"/>
        </w:rPr>
        <w:t xml:space="preserve">being </w:t>
      </w:r>
      <w:r w:rsidRPr="003B6741">
        <w:rPr>
          <w:lang w:val="en-GB"/>
        </w:rPr>
        <w:t>N</w:t>
      </w:r>
      <w:r w:rsidRPr="00903646">
        <w:rPr>
          <w:vertAlign w:val="subscript"/>
          <w:lang w:val="en-GB"/>
        </w:rPr>
        <w:t>2</w:t>
      </w:r>
      <w:r w:rsidRPr="003B6741">
        <w:rPr>
          <w:lang w:val="en-GB"/>
        </w:rPr>
        <w:t xml:space="preserve"> </w:t>
      </w:r>
      <w:r>
        <w:rPr>
          <w:lang w:val="en-GB"/>
        </w:rPr>
        <w:t xml:space="preserve">for TGA </w:t>
      </w:r>
      <w:r w:rsidRPr="003B6741">
        <w:rPr>
          <w:lang w:val="en-GB"/>
        </w:rPr>
        <w:t>v</w:t>
      </w:r>
      <w:r>
        <w:rPr>
          <w:lang w:val="en-GB"/>
        </w:rPr>
        <w:t>ersus</w:t>
      </w:r>
      <w:r w:rsidRPr="003B6741">
        <w:rPr>
          <w:lang w:val="en-GB"/>
        </w:rPr>
        <w:t xml:space="preserve"> H</w:t>
      </w:r>
      <w:r w:rsidRPr="00903646">
        <w:rPr>
          <w:vertAlign w:val="subscript"/>
          <w:lang w:val="en-GB"/>
        </w:rPr>
        <w:t>2</w:t>
      </w:r>
      <w:r>
        <w:rPr>
          <w:lang w:val="en-GB"/>
        </w:rPr>
        <w:t xml:space="preserve"> for reactor studies)</w:t>
      </w:r>
      <w:r w:rsidRPr="003B6741">
        <w:rPr>
          <w:lang w:val="en-GB"/>
        </w:rPr>
        <w:t xml:space="preserve"> and pressure</w:t>
      </w:r>
      <w:r>
        <w:rPr>
          <w:lang w:val="en-GB"/>
        </w:rPr>
        <w:t xml:space="preserve"> (atmospheric for TGA versus 20 bar for hydrocracking).</w:t>
      </w:r>
    </w:p>
    <w:p w14:paraId="01AB4EBD" w14:textId="77777777" w:rsidR="00920101" w:rsidRDefault="00920101" w:rsidP="00920101">
      <w:pPr>
        <w:pStyle w:val="CETBodytext"/>
        <w:keepNext/>
        <w:jc w:val="center"/>
      </w:pPr>
      <w:r>
        <w:object w:dxaOrig="15052" w:dyaOrig="11523" w14:anchorId="33D8A0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3pt;height:247.65pt" o:ole="">
            <v:imagedata r:id="rId9" o:title=""/>
          </v:shape>
          <o:OLEObject Type="Embed" ProgID="Origin95.Graph" ShapeID="_x0000_i1025" DrawAspect="Content" ObjectID="_1744190903" r:id="rId10"/>
        </w:object>
      </w:r>
    </w:p>
    <w:p w14:paraId="23F85A90" w14:textId="77777777" w:rsidR="00920101" w:rsidRDefault="00920101" w:rsidP="00920101">
      <w:pPr>
        <w:pStyle w:val="CETCaption"/>
      </w:pPr>
      <w:r w:rsidRPr="0007119B">
        <w:t xml:space="preserve">Figure </w:t>
      </w:r>
      <w:r>
        <w:t>3</w:t>
      </w:r>
      <w:r w:rsidRPr="0007119B">
        <w:t>:</w:t>
      </w:r>
      <w:r>
        <w:t xml:space="preserve"> </w:t>
      </w:r>
      <w:r w:rsidRPr="00346087">
        <w:t xml:space="preserve">Decomposition curves of PP and facemask with/without zeolites Beta (12.5) and USY (15) corresponding with inset </w:t>
      </w:r>
      <w:proofErr w:type="gramStart"/>
      <w:r w:rsidRPr="00346087">
        <w:t>DTG</w:t>
      </w:r>
      <w:proofErr w:type="gramEnd"/>
    </w:p>
    <w:p w14:paraId="09B71F1C" w14:textId="77777777" w:rsidR="00920101" w:rsidRDefault="00920101" w:rsidP="00920101">
      <w:pPr>
        <w:pStyle w:val="CETTabletitle"/>
      </w:pPr>
      <w:r w:rsidRPr="0007119B">
        <w:t xml:space="preserve">Table </w:t>
      </w:r>
      <w:fldSimple w:instr=" SEQ Table \* ARABIC ">
        <w:r w:rsidRPr="0007119B">
          <w:rPr>
            <w:noProof/>
          </w:rPr>
          <w:t>1</w:t>
        </w:r>
      </w:fldSimple>
      <w:r w:rsidRPr="0007119B">
        <w:t>:</w:t>
      </w:r>
      <w:r>
        <w:t xml:space="preserve"> </w:t>
      </w:r>
      <w:r w:rsidRPr="00D5737D">
        <w:t>TGA summary of PP and facemask degradation</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552"/>
        <w:gridCol w:w="1593"/>
        <w:gridCol w:w="351"/>
      </w:tblGrid>
      <w:tr w:rsidR="00920101" w:rsidRPr="001353AA" w14:paraId="14DDA6A0" w14:textId="77777777" w:rsidTr="005D1460">
        <w:tc>
          <w:tcPr>
            <w:tcW w:w="2552" w:type="dxa"/>
            <w:tcBorders>
              <w:top w:val="single" w:sz="12" w:space="0" w:color="008000"/>
              <w:bottom w:val="single" w:sz="6" w:space="0" w:color="008000"/>
            </w:tcBorders>
            <w:shd w:val="clear" w:color="auto" w:fill="FFFFFF"/>
          </w:tcPr>
          <w:p w14:paraId="513122A7" w14:textId="77777777" w:rsidR="00920101" w:rsidRPr="001353AA" w:rsidRDefault="00920101" w:rsidP="005D1460">
            <w:pPr>
              <w:pStyle w:val="CETBodytext"/>
              <w:rPr>
                <w:b/>
                <w:bCs/>
                <w:color w:val="000000" w:themeColor="text1"/>
                <w:lang w:val="en-GB"/>
              </w:rPr>
            </w:pPr>
            <w:r w:rsidRPr="001353AA">
              <w:rPr>
                <w:b/>
                <w:bCs/>
                <w:color w:val="000000" w:themeColor="text1"/>
                <w:lang w:val="en-GB"/>
              </w:rPr>
              <w:t xml:space="preserve">Polymer/Cat </w:t>
            </w:r>
          </w:p>
        </w:tc>
        <w:tc>
          <w:tcPr>
            <w:tcW w:w="1593" w:type="dxa"/>
            <w:tcBorders>
              <w:top w:val="single" w:sz="12" w:space="0" w:color="008000"/>
              <w:bottom w:val="single" w:sz="6" w:space="0" w:color="008000"/>
            </w:tcBorders>
            <w:shd w:val="clear" w:color="auto" w:fill="FFFFFF"/>
          </w:tcPr>
          <w:p w14:paraId="650B4452" w14:textId="77777777" w:rsidR="00920101" w:rsidRPr="001353AA" w:rsidRDefault="00920101" w:rsidP="005D1460">
            <w:pPr>
              <w:pStyle w:val="CETBodytext"/>
              <w:rPr>
                <w:b/>
                <w:bCs/>
                <w:color w:val="000000" w:themeColor="text1"/>
                <w:lang w:val="en-GB"/>
              </w:rPr>
            </w:pPr>
            <w:proofErr w:type="spellStart"/>
            <w:r w:rsidRPr="001353AA">
              <w:rPr>
                <w:b/>
                <w:bCs/>
                <w:color w:val="000000" w:themeColor="text1"/>
                <w:lang w:val="en-GB"/>
              </w:rPr>
              <w:t>T</w:t>
            </w:r>
            <w:r w:rsidRPr="001353AA">
              <w:rPr>
                <w:b/>
                <w:bCs/>
                <w:color w:val="000000" w:themeColor="text1"/>
                <w:vertAlign w:val="subscript"/>
                <w:lang w:val="en-GB"/>
              </w:rPr>
              <w:t>onset</w:t>
            </w:r>
            <w:proofErr w:type="spellEnd"/>
          </w:p>
        </w:tc>
        <w:tc>
          <w:tcPr>
            <w:tcW w:w="337" w:type="dxa"/>
            <w:tcBorders>
              <w:top w:val="single" w:sz="12" w:space="0" w:color="008000"/>
              <w:bottom w:val="single" w:sz="6" w:space="0" w:color="008000"/>
            </w:tcBorders>
            <w:shd w:val="clear" w:color="auto" w:fill="FFFFFF"/>
          </w:tcPr>
          <w:p w14:paraId="7C48EDF4" w14:textId="77777777" w:rsidR="00920101" w:rsidRPr="001353AA" w:rsidRDefault="00920101" w:rsidP="005D1460">
            <w:pPr>
              <w:pStyle w:val="CETBodytext"/>
              <w:rPr>
                <w:b/>
                <w:bCs/>
                <w:color w:val="000000" w:themeColor="text1"/>
                <w:lang w:val="en-GB"/>
              </w:rPr>
            </w:pPr>
            <w:proofErr w:type="spellStart"/>
            <w:r w:rsidRPr="001353AA">
              <w:rPr>
                <w:b/>
                <w:bCs/>
                <w:color w:val="000000" w:themeColor="text1"/>
                <w:lang w:val="en-GB"/>
              </w:rPr>
              <w:t>T</w:t>
            </w:r>
            <w:r w:rsidRPr="001353AA">
              <w:rPr>
                <w:b/>
                <w:bCs/>
                <w:color w:val="000000" w:themeColor="text1"/>
                <w:vertAlign w:val="subscript"/>
                <w:lang w:val="en-GB"/>
              </w:rPr>
              <w:t>max</w:t>
            </w:r>
            <w:proofErr w:type="spellEnd"/>
          </w:p>
        </w:tc>
      </w:tr>
      <w:tr w:rsidR="00920101" w:rsidRPr="00860EC2" w14:paraId="524F24A5" w14:textId="77777777" w:rsidTr="005D1460">
        <w:tc>
          <w:tcPr>
            <w:tcW w:w="2552" w:type="dxa"/>
            <w:shd w:val="clear" w:color="auto" w:fill="FFFFFF"/>
          </w:tcPr>
          <w:p w14:paraId="164DFAB4" w14:textId="77777777" w:rsidR="00920101" w:rsidRPr="00860EC2" w:rsidRDefault="00920101" w:rsidP="005D1460">
            <w:pPr>
              <w:pStyle w:val="CETBodytext"/>
              <w:rPr>
                <w:color w:val="000000" w:themeColor="text1"/>
                <w:lang w:val="en-GB"/>
              </w:rPr>
            </w:pPr>
            <w:r w:rsidRPr="00860EC2">
              <w:rPr>
                <w:color w:val="000000" w:themeColor="text1"/>
                <w:lang w:val="en-GB"/>
              </w:rPr>
              <w:t>PP no cat</w:t>
            </w:r>
          </w:p>
          <w:p w14:paraId="4897962B" w14:textId="77777777" w:rsidR="00920101" w:rsidRPr="00860EC2" w:rsidRDefault="00920101" w:rsidP="005D1460">
            <w:pPr>
              <w:pStyle w:val="CETBodytext"/>
              <w:rPr>
                <w:color w:val="000000" w:themeColor="text1"/>
                <w:lang w:val="en-GB"/>
              </w:rPr>
            </w:pPr>
            <w:r w:rsidRPr="00860EC2">
              <w:rPr>
                <w:color w:val="000000" w:themeColor="text1"/>
                <w:lang w:val="en-GB"/>
              </w:rPr>
              <w:t>Facemask no cat</w:t>
            </w:r>
          </w:p>
          <w:p w14:paraId="7A68D419" w14:textId="77777777" w:rsidR="00920101" w:rsidRPr="00860EC2" w:rsidRDefault="00920101" w:rsidP="005D1460">
            <w:pPr>
              <w:pStyle w:val="CETBodytext"/>
              <w:rPr>
                <w:color w:val="000000" w:themeColor="text1"/>
                <w:lang w:val="en-GB"/>
              </w:rPr>
            </w:pPr>
            <w:r w:rsidRPr="00860EC2">
              <w:rPr>
                <w:color w:val="000000" w:themeColor="text1"/>
                <w:lang w:val="en-GB"/>
              </w:rPr>
              <w:t xml:space="preserve">PP / Beta </w:t>
            </w:r>
          </w:p>
          <w:p w14:paraId="229DB32D" w14:textId="77777777" w:rsidR="00920101" w:rsidRPr="00860EC2" w:rsidRDefault="00920101" w:rsidP="005D1460">
            <w:pPr>
              <w:pStyle w:val="CETBodytext"/>
              <w:rPr>
                <w:color w:val="000000" w:themeColor="text1"/>
                <w:lang w:val="en-GB"/>
              </w:rPr>
            </w:pPr>
            <w:r w:rsidRPr="00860EC2">
              <w:rPr>
                <w:color w:val="000000" w:themeColor="text1"/>
                <w:lang w:val="en-GB"/>
              </w:rPr>
              <w:t>PP / USY</w:t>
            </w:r>
          </w:p>
          <w:p w14:paraId="16EF9500" w14:textId="77777777" w:rsidR="00920101" w:rsidRPr="00860EC2" w:rsidRDefault="00920101" w:rsidP="005D1460">
            <w:pPr>
              <w:pStyle w:val="CETBodytext"/>
              <w:rPr>
                <w:color w:val="000000" w:themeColor="text1"/>
                <w:lang w:val="en-GB"/>
              </w:rPr>
            </w:pPr>
            <w:r w:rsidRPr="00860EC2">
              <w:rPr>
                <w:color w:val="000000" w:themeColor="text1"/>
                <w:lang w:val="en-GB"/>
              </w:rPr>
              <w:t>Facemask / Beta</w:t>
            </w:r>
          </w:p>
          <w:p w14:paraId="0033D7B4" w14:textId="77777777" w:rsidR="00920101" w:rsidRPr="00860EC2" w:rsidRDefault="00920101" w:rsidP="005D1460">
            <w:pPr>
              <w:pStyle w:val="CETBodytext"/>
              <w:rPr>
                <w:color w:val="000000" w:themeColor="text1"/>
                <w:lang w:val="en-GB"/>
              </w:rPr>
            </w:pPr>
            <w:r w:rsidRPr="00860EC2">
              <w:rPr>
                <w:color w:val="000000" w:themeColor="text1"/>
                <w:lang w:val="en-GB"/>
              </w:rPr>
              <w:t>Facemask / USY</w:t>
            </w:r>
          </w:p>
        </w:tc>
        <w:tc>
          <w:tcPr>
            <w:tcW w:w="1593" w:type="dxa"/>
            <w:shd w:val="clear" w:color="auto" w:fill="FFFFFF"/>
          </w:tcPr>
          <w:p w14:paraId="5FE6B86E" w14:textId="77777777" w:rsidR="00920101" w:rsidRPr="00860EC2" w:rsidRDefault="00920101" w:rsidP="005D1460">
            <w:pPr>
              <w:pStyle w:val="CETBodytext"/>
              <w:rPr>
                <w:color w:val="000000" w:themeColor="text1"/>
                <w:lang w:val="en-GB"/>
              </w:rPr>
            </w:pPr>
            <w:r w:rsidRPr="00860EC2">
              <w:rPr>
                <w:color w:val="000000" w:themeColor="text1"/>
                <w:lang w:val="en-GB"/>
              </w:rPr>
              <w:t>400</w:t>
            </w:r>
          </w:p>
          <w:p w14:paraId="313E3BF7" w14:textId="77777777" w:rsidR="00920101" w:rsidRPr="00860EC2" w:rsidRDefault="00920101" w:rsidP="005D1460">
            <w:pPr>
              <w:pStyle w:val="CETBodytext"/>
              <w:rPr>
                <w:color w:val="000000" w:themeColor="text1"/>
                <w:lang w:val="en-GB"/>
              </w:rPr>
            </w:pPr>
            <w:r w:rsidRPr="00860EC2">
              <w:rPr>
                <w:color w:val="000000" w:themeColor="text1"/>
                <w:lang w:val="en-GB"/>
              </w:rPr>
              <w:t>380</w:t>
            </w:r>
          </w:p>
          <w:p w14:paraId="3B8F3917" w14:textId="77777777" w:rsidR="00920101" w:rsidRPr="00860EC2" w:rsidRDefault="00920101" w:rsidP="005D1460">
            <w:pPr>
              <w:pStyle w:val="CETBodytext"/>
              <w:rPr>
                <w:color w:val="000000" w:themeColor="text1"/>
                <w:lang w:val="en-GB"/>
              </w:rPr>
            </w:pPr>
            <w:r w:rsidRPr="00860EC2">
              <w:rPr>
                <w:color w:val="000000" w:themeColor="text1"/>
                <w:lang w:val="en-GB"/>
              </w:rPr>
              <w:t>355</w:t>
            </w:r>
          </w:p>
          <w:p w14:paraId="008DF057" w14:textId="77777777" w:rsidR="00920101" w:rsidRPr="00860EC2" w:rsidRDefault="00920101" w:rsidP="005D1460">
            <w:pPr>
              <w:pStyle w:val="CETBodytext"/>
              <w:rPr>
                <w:color w:val="000000" w:themeColor="text1"/>
                <w:lang w:val="en-GB"/>
              </w:rPr>
            </w:pPr>
            <w:r w:rsidRPr="00860EC2">
              <w:rPr>
                <w:color w:val="000000" w:themeColor="text1"/>
                <w:lang w:val="en-GB"/>
              </w:rPr>
              <w:t>360</w:t>
            </w:r>
          </w:p>
          <w:p w14:paraId="6049E9EF" w14:textId="77777777" w:rsidR="00920101" w:rsidRPr="00860EC2" w:rsidRDefault="00920101" w:rsidP="005D1460">
            <w:pPr>
              <w:pStyle w:val="CETBodytext"/>
              <w:rPr>
                <w:color w:val="000000" w:themeColor="text1"/>
                <w:lang w:val="en-GB"/>
              </w:rPr>
            </w:pPr>
            <w:r w:rsidRPr="00860EC2">
              <w:rPr>
                <w:color w:val="000000" w:themeColor="text1"/>
                <w:lang w:val="en-GB"/>
              </w:rPr>
              <w:t>275</w:t>
            </w:r>
          </w:p>
          <w:p w14:paraId="0EA055BD" w14:textId="77777777" w:rsidR="00920101" w:rsidRPr="00860EC2" w:rsidRDefault="00920101" w:rsidP="005D1460">
            <w:pPr>
              <w:pStyle w:val="CETBodytext"/>
              <w:rPr>
                <w:color w:val="000000" w:themeColor="text1"/>
                <w:lang w:val="en-GB"/>
              </w:rPr>
            </w:pPr>
            <w:r w:rsidRPr="00860EC2">
              <w:rPr>
                <w:color w:val="000000" w:themeColor="text1"/>
                <w:lang w:val="en-GB"/>
              </w:rPr>
              <w:t>190</w:t>
            </w:r>
          </w:p>
        </w:tc>
        <w:tc>
          <w:tcPr>
            <w:tcW w:w="337" w:type="dxa"/>
            <w:shd w:val="clear" w:color="auto" w:fill="FFFFFF"/>
          </w:tcPr>
          <w:p w14:paraId="3805DF6B" w14:textId="77777777" w:rsidR="00920101" w:rsidRPr="00860EC2" w:rsidRDefault="00920101" w:rsidP="005D1460">
            <w:pPr>
              <w:pStyle w:val="CETBodytext"/>
              <w:rPr>
                <w:color w:val="000000" w:themeColor="text1"/>
                <w:lang w:val="en-GB"/>
              </w:rPr>
            </w:pPr>
            <w:r w:rsidRPr="00860EC2">
              <w:rPr>
                <w:color w:val="000000" w:themeColor="text1"/>
                <w:lang w:val="en-GB"/>
              </w:rPr>
              <w:t>440</w:t>
            </w:r>
          </w:p>
          <w:p w14:paraId="5458E8B5" w14:textId="77777777" w:rsidR="00920101" w:rsidRPr="00860EC2" w:rsidRDefault="00920101" w:rsidP="005D1460">
            <w:pPr>
              <w:pStyle w:val="CETBodytext"/>
              <w:rPr>
                <w:color w:val="000000" w:themeColor="text1"/>
                <w:lang w:val="en-GB"/>
              </w:rPr>
            </w:pPr>
            <w:r w:rsidRPr="00860EC2">
              <w:rPr>
                <w:color w:val="000000" w:themeColor="text1"/>
                <w:lang w:val="en-GB"/>
              </w:rPr>
              <w:t>435</w:t>
            </w:r>
          </w:p>
          <w:p w14:paraId="71E4439D" w14:textId="77777777" w:rsidR="00920101" w:rsidRPr="00860EC2" w:rsidRDefault="00920101" w:rsidP="005D1460">
            <w:pPr>
              <w:pStyle w:val="CETBodytext"/>
              <w:rPr>
                <w:color w:val="000000" w:themeColor="text1"/>
                <w:lang w:val="en-GB"/>
              </w:rPr>
            </w:pPr>
            <w:r w:rsidRPr="00860EC2">
              <w:rPr>
                <w:color w:val="000000" w:themeColor="text1"/>
                <w:lang w:val="en-GB"/>
              </w:rPr>
              <w:t>389</w:t>
            </w:r>
          </w:p>
          <w:p w14:paraId="5D02D266" w14:textId="77777777" w:rsidR="00920101" w:rsidRPr="00860EC2" w:rsidRDefault="00920101" w:rsidP="005D1460">
            <w:pPr>
              <w:pStyle w:val="CETBodytext"/>
              <w:rPr>
                <w:color w:val="000000" w:themeColor="text1"/>
                <w:lang w:val="en-GB"/>
              </w:rPr>
            </w:pPr>
            <w:r w:rsidRPr="00860EC2">
              <w:rPr>
                <w:color w:val="000000" w:themeColor="text1"/>
                <w:lang w:val="en-GB"/>
              </w:rPr>
              <w:t>385</w:t>
            </w:r>
          </w:p>
          <w:p w14:paraId="504E7057" w14:textId="77777777" w:rsidR="00920101" w:rsidRPr="00860EC2" w:rsidRDefault="00920101" w:rsidP="005D1460">
            <w:pPr>
              <w:pStyle w:val="CETBodytext"/>
              <w:rPr>
                <w:color w:val="000000" w:themeColor="text1"/>
                <w:lang w:val="en-GB"/>
              </w:rPr>
            </w:pPr>
            <w:r w:rsidRPr="00860EC2">
              <w:rPr>
                <w:color w:val="000000" w:themeColor="text1"/>
                <w:lang w:val="en-GB"/>
              </w:rPr>
              <w:t>345</w:t>
            </w:r>
          </w:p>
          <w:p w14:paraId="6C3898E9" w14:textId="77777777" w:rsidR="00920101" w:rsidRPr="00860EC2" w:rsidRDefault="00920101" w:rsidP="005D1460">
            <w:pPr>
              <w:pStyle w:val="CETBodytext"/>
              <w:rPr>
                <w:color w:val="000000" w:themeColor="text1"/>
                <w:lang w:val="en-GB"/>
              </w:rPr>
            </w:pPr>
            <w:r w:rsidRPr="00860EC2">
              <w:rPr>
                <w:color w:val="000000" w:themeColor="text1"/>
                <w:lang w:val="en-GB"/>
              </w:rPr>
              <w:t>330</w:t>
            </w:r>
          </w:p>
        </w:tc>
      </w:tr>
    </w:tbl>
    <w:p w14:paraId="413DAD7A" w14:textId="77777777" w:rsidR="00920101" w:rsidRDefault="00920101" w:rsidP="00920101">
      <w:pPr>
        <w:pStyle w:val="CETheadingx"/>
        <w:numPr>
          <w:ilvl w:val="0"/>
          <w:numId w:val="0"/>
        </w:numPr>
      </w:pPr>
    </w:p>
    <w:p w14:paraId="7634EB7F" w14:textId="77777777" w:rsidR="00920101" w:rsidRPr="00B17F83" w:rsidRDefault="00920101" w:rsidP="00920101">
      <w:pPr>
        <w:pStyle w:val="CETheadingx"/>
      </w:pPr>
      <w:r w:rsidRPr="00B17F83">
        <w:t xml:space="preserve">Hydrocracking results </w:t>
      </w:r>
    </w:p>
    <w:p w14:paraId="673B6098" w14:textId="78BA27D9" w:rsidR="00920101" w:rsidRPr="008C605F" w:rsidRDefault="00920101" w:rsidP="00920101">
      <w:pPr>
        <w:pStyle w:val="CETBodytext"/>
      </w:pPr>
      <w:r w:rsidRPr="00646B1E">
        <w:t xml:space="preserve">Disposable facemasks made </w:t>
      </w:r>
      <w:r>
        <w:t xml:space="preserve">almost entirely </w:t>
      </w:r>
      <w:r w:rsidRPr="00646B1E">
        <w:t xml:space="preserve">of polypropylene were employed as the feedstock, and catalysts Beta and USY </w:t>
      </w:r>
      <w:r w:rsidR="00553363" w:rsidRPr="00646B1E">
        <w:t xml:space="preserve">were </w:t>
      </w:r>
      <w:r w:rsidR="00553363">
        <w:t>used</w:t>
      </w:r>
      <w:r w:rsidRPr="00646B1E">
        <w:t xml:space="preserve"> to investigate how catalysts influenced the production of hydrocarbons of pandemic related plastic waste. During the thermochemical conversion of plastic waste, catalysts are essential in controlling product distribution</w:t>
      </w:r>
      <w:r>
        <w:t xml:space="preserve"> </w:t>
      </w:r>
      <w:r>
        <w:fldChar w:fldCharType="begin"/>
      </w:r>
      <w:r>
        <w:instrText xml:space="preserve"> ADDIN EN.CITE &lt;EndNote&gt;&lt;Cite&gt;&lt;Author&gt;Yuan&lt;/Author&gt;&lt;Year&gt;2022&lt;/Year&gt;&lt;RecNum&gt;13&lt;/RecNum&gt;&lt;DisplayText&gt;(Yuan, Kumar et al. 2022)&lt;/DisplayText&gt;&lt;record&gt;&lt;rec-number&gt;13&lt;/rec-number&gt;&lt;foreign-keys&gt;&lt;key app="EN" db-id="92e2ws0vpwswa0evz20vwppfzww95r50axts" timestamp="1674951362"&gt;13&lt;/key&gt;&lt;/foreign-keys&gt;&lt;ref-type name="Journal Article"&gt;17&lt;/ref-type&gt;&lt;contributors&gt;&lt;authors&gt;&lt;author&gt;Yuan, Xiangzhou&lt;/author&gt;&lt;author&gt;Kumar, Nallapaneni Manoj&lt;/author&gt;&lt;author&gt;Brigljević, Boris&lt;/author&gt;&lt;author&gt;Li, Shuangjun&lt;/author&gt;&lt;author&gt;Deng, Shuai&lt;/author&gt;&lt;author&gt;Byun, Manhee&lt;/author&gt;&lt;author&gt;Lee, Boreum&lt;/author&gt;&lt;author&gt;Lin, Carol Sze Ki&lt;/author&gt;&lt;author&gt;Tsang, Daniel CW&lt;/author&gt;&lt;author&gt;Lee, Ki Bong&lt;/author&gt;&lt;/authors&gt;&lt;/contributors&gt;&lt;titles&gt;&lt;title&gt;Sustainability-inspired upcycling of waste polyethylene terephthalate plastic into porous carbon for CO 2 capture&lt;/title&gt;&lt;secondary-title&gt;Green Chemistry&lt;/secondary-title&gt;&lt;/titles&gt;&lt;periodical&gt;&lt;full-title&gt;Green Chemistry&lt;/full-title&gt;&lt;/periodical&gt;&lt;pages&gt;1494-1504&lt;/pages&gt;&lt;volume&gt;24&lt;/volume&gt;&lt;number&gt;4&lt;/number&gt;&lt;dates&gt;&lt;year&gt;2022&lt;/year&gt;&lt;/dates&gt;&lt;urls&gt;&lt;/urls&gt;&lt;/record&gt;&lt;/Cite&gt;&lt;/EndNote&gt;</w:instrText>
      </w:r>
      <w:r>
        <w:fldChar w:fldCharType="separate"/>
      </w:r>
      <w:r>
        <w:rPr>
          <w:noProof/>
        </w:rPr>
        <w:t>(Yuan et al., 2022)</w:t>
      </w:r>
      <w:r>
        <w:fldChar w:fldCharType="end"/>
      </w:r>
      <w:r w:rsidRPr="00646B1E">
        <w:t xml:space="preserve">. </w:t>
      </w:r>
      <w:r w:rsidRPr="008C605F">
        <w:t xml:space="preserve">Generally, increasing the temperature had the predictable effect of increasing the production of lighter products and introducing more gas. Herein, the conversion of </w:t>
      </w:r>
      <w:r>
        <w:t>PP</w:t>
      </w:r>
      <w:r w:rsidRPr="008C605F">
        <w:t xml:space="preserve"> and facemask at 300 °C and 330 °C showed the effect of molecular weight, with </w:t>
      </w:r>
      <w:r>
        <w:t>PP</w:t>
      </w:r>
      <w:r w:rsidRPr="008C605F">
        <w:t xml:space="preserve"> having a high boiling point due to its much higher molecular weight than the facemask sample as shown in Figure 4</w:t>
      </w:r>
      <w:r>
        <w:t>(</w:t>
      </w:r>
      <w:r w:rsidRPr="008C605F">
        <w:t>A</w:t>
      </w:r>
      <w:r>
        <w:t>-</w:t>
      </w:r>
      <w:r w:rsidRPr="008C605F">
        <w:t>B).</w:t>
      </w:r>
    </w:p>
    <w:p w14:paraId="6BF591FD" w14:textId="77777777" w:rsidR="00920101" w:rsidRDefault="00920101" w:rsidP="00920101">
      <w:pPr>
        <w:pStyle w:val="CETBodytext"/>
        <w:keepNext/>
        <w:jc w:val="center"/>
      </w:pPr>
      <w:r>
        <w:rPr>
          <w:noProof/>
          <w:color w:val="FF0000"/>
          <w:lang w:val="en-GB" w:eastAsia="en-GB"/>
        </w:rPr>
        <w:lastRenderedPageBreak/>
        <w:drawing>
          <wp:inline distT="0" distB="0" distL="0" distR="0" wp14:anchorId="726CFB59" wp14:editId="59F378B8">
            <wp:extent cx="4599633" cy="2870125"/>
            <wp:effectExtent l="0" t="0" r="0" b="6985"/>
            <wp:docPr id="25" name="Picture 25" descr="A picture containing text, diagram, paralle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diagram, parallel, 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8697" cy="2888261"/>
                    </a:xfrm>
                    <a:prstGeom prst="rect">
                      <a:avLst/>
                    </a:prstGeom>
                  </pic:spPr>
                </pic:pic>
              </a:graphicData>
            </a:graphic>
          </wp:inline>
        </w:drawing>
      </w:r>
    </w:p>
    <w:p w14:paraId="46EE90E5" w14:textId="77777777" w:rsidR="00920101" w:rsidRDefault="00920101" w:rsidP="00920101">
      <w:pPr>
        <w:pStyle w:val="CETCaption"/>
      </w:pPr>
      <w:r w:rsidRPr="0007119B">
        <w:t xml:space="preserve">Figure </w:t>
      </w:r>
      <w:r>
        <w:t>4</w:t>
      </w:r>
      <w:r w:rsidRPr="0007119B">
        <w:t>: (A +</w:t>
      </w:r>
      <w:r w:rsidRPr="00F822DA">
        <w:t xml:space="preserve"> B) Product distribution of PP and Facemask hydrocracking over 1%Pt-USY at 300 and 330 °C, (C+D) Facemask hydrocracking over 1%Pt-USY and 1%Pt-Beta at 270, 300 and 330 °C. (20 bar H</w:t>
      </w:r>
      <w:r w:rsidRPr="000F07F4">
        <w:rPr>
          <w:vertAlign w:val="subscript"/>
        </w:rPr>
        <w:t>2</w:t>
      </w:r>
      <w:r w:rsidRPr="00F822DA">
        <w:t>)</w:t>
      </w:r>
    </w:p>
    <w:p w14:paraId="49396FF1" w14:textId="77777777" w:rsidR="00920101" w:rsidRPr="00646B1E" w:rsidRDefault="00920101" w:rsidP="00920101">
      <w:pPr>
        <w:pStyle w:val="CETBodytext"/>
      </w:pPr>
      <w:r w:rsidRPr="00646B1E">
        <w:t xml:space="preserve">In addition, this can be related to the TGA curves in </w:t>
      </w:r>
      <w:r w:rsidRPr="00116FF5">
        <w:t>Figure 3 which</w:t>
      </w:r>
      <w:r w:rsidRPr="00116FF5">
        <w:rPr>
          <w:color w:val="000000" w:themeColor="text1"/>
        </w:rPr>
        <w:t xml:space="preserve"> </w:t>
      </w:r>
      <w:r w:rsidRPr="00646B1E">
        <w:t xml:space="preserve">showed the decomposition of the facemask </w:t>
      </w:r>
      <w:r>
        <w:t>was</w:t>
      </w:r>
      <w:r w:rsidRPr="00646B1E">
        <w:t xml:space="preserve"> faster than the virgin </w:t>
      </w:r>
      <w:r>
        <w:t>PP</w:t>
      </w:r>
      <w:r w:rsidRPr="00646B1E">
        <w:t xml:space="preserve"> Further stu</w:t>
      </w:r>
      <w:r>
        <w:t>dy using</w:t>
      </w:r>
      <w:r w:rsidRPr="008C605F">
        <w:t xml:space="preserve"> </w:t>
      </w:r>
      <w:r w:rsidRPr="00646B1E">
        <w:t>Pt-Beta</w:t>
      </w:r>
      <w:r>
        <w:t xml:space="preserve"> </w:t>
      </w:r>
      <w:r w:rsidRPr="00646B1E">
        <w:t xml:space="preserve">(12.5) and USY(15) bifunctional catalysts produced </w:t>
      </w:r>
      <w:r>
        <w:t xml:space="preserve">streams </w:t>
      </w:r>
      <w:r w:rsidRPr="00646B1E">
        <w:t xml:space="preserve">rich </w:t>
      </w:r>
      <w:r>
        <w:t xml:space="preserve">in </w:t>
      </w:r>
      <w:r w:rsidRPr="00646B1E">
        <w:t>light, highly branched paraffin</w:t>
      </w:r>
      <w:r>
        <w:t>s</w:t>
      </w:r>
      <w:r w:rsidRPr="00646B1E">
        <w:t xml:space="preserve"> from virgin polymers at 330 °C</w:t>
      </w:r>
      <w:r>
        <w:t xml:space="preserve"> </w:t>
      </w:r>
      <w:r>
        <w:fldChar w:fldCharType="begin"/>
      </w:r>
      <w:r>
        <w:instrText xml:space="preserve"> ADDIN EN.CITE &lt;EndNote&gt;&lt;Cite&gt;&lt;Author&gt;bin Jumah&lt;/Author&gt;&lt;Year&gt;2021&lt;/Year&gt;&lt;RecNum&gt;12&lt;/RecNum&gt;&lt;DisplayText&gt;(bin Jumah, Tedstone et al. 2021)&lt;/DisplayText&gt;&lt;record&gt;&lt;rec-number&gt;12&lt;/rec-number&gt;&lt;foreign-keys&gt;&lt;key app="EN" db-id="92e2ws0vpwswa0evz20vwppfzww95r50axts" timestamp="1674514813"&gt;12&lt;/key&gt;&lt;/foreign-keys&gt;&lt;ref-type name="Journal Article"&gt;17&lt;/ref-type&gt;&lt;contributors&gt;&lt;authors&gt;&lt;author&gt;bin Jumah, Abdulrahman&lt;/author&gt;&lt;author&gt;Tedstone, Aleksander A&lt;/author&gt;&lt;author&gt;Garforth, Arthur A&lt;/author&gt;&lt;/authors&gt;&lt;/contributors&gt;&lt;titles&gt;&lt;title&gt;Hydrocracking of virgin and post-consumer polymers&lt;/title&gt;&lt;secondary-title&gt;Microporous and Mesoporous Materials&lt;/secondary-title&gt;&lt;/titles&gt;&lt;periodical&gt;&lt;full-title&gt;Microporous and Mesoporous Materials&lt;/full-title&gt;&lt;/periodical&gt;&lt;pages&gt;110912&lt;/pages&gt;&lt;volume&gt;315&lt;/volume&gt;&lt;dates&gt;&lt;year&gt;2021&lt;/year&gt;&lt;/dates&gt;&lt;isbn&gt;1387-1811&lt;/isbn&gt;&lt;urls&gt;&lt;/urls&gt;&lt;/record&gt;&lt;/Cite&gt;&lt;/EndNote&gt;</w:instrText>
      </w:r>
      <w:r>
        <w:fldChar w:fldCharType="separate"/>
      </w:r>
      <w:r>
        <w:rPr>
          <w:noProof/>
        </w:rPr>
        <w:t>(bin Jumah et al., 2021)</w:t>
      </w:r>
      <w:r>
        <w:fldChar w:fldCharType="end"/>
      </w:r>
      <w:r w:rsidRPr="00646B1E">
        <w:t>.</w:t>
      </w:r>
    </w:p>
    <w:p w14:paraId="3B8846B8" w14:textId="77777777" w:rsidR="00920101" w:rsidRDefault="00920101" w:rsidP="00920101">
      <w:pPr>
        <w:pStyle w:val="CETBodytext"/>
        <w:rPr>
          <w:lang w:val="en-GB"/>
        </w:rPr>
      </w:pPr>
    </w:p>
    <w:p w14:paraId="760DD655" w14:textId="77777777" w:rsidR="00920101" w:rsidRDefault="00920101" w:rsidP="00920101">
      <w:pPr>
        <w:pStyle w:val="CETBodytext"/>
        <w:keepNext/>
        <w:jc w:val="center"/>
      </w:pPr>
      <w:r>
        <w:rPr>
          <w:noProof/>
          <w:lang w:val="en-GB" w:eastAsia="en-GB"/>
        </w:rPr>
        <w:drawing>
          <wp:inline distT="0" distB="0" distL="0" distR="0" wp14:anchorId="6C6B208E" wp14:editId="64CCCF23">
            <wp:extent cx="4546121" cy="1381376"/>
            <wp:effectExtent l="0" t="0" r="6985" b="9525"/>
            <wp:docPr id="28" name="Picture 28"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creenshot, line, 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4465" cy="1405181"/>
                    </a:xfrm>
                    <a:prstGeom prst="rect">
                      <a:avLst/>
                    </a:prstGeom>
                  </pic:spPr>
                </pic:pic>
              </a:graphicData>
            </a:graphic>
          </wp:inline>
        </w:drawing>
      </w:r>
    </w:p>
    <w:p w14:paraId="0BE484C0" w14:textId="77777777" w:rsidR="00920101" w:rsidRDefault="00920101" w:rsidP="00920101">
      <w:pPr>
        <w:pStyle w:val="CETCaption"/>
      </w:pPr>
      <w:r w:rsidRPr="0007119B">
        <w:t xml:space="preserve">Figure </w:t>
      </w:r>
      <w:r>
        <w:t>5</w:t>
      </w:r>
      <w:r w:rsidRPr="0007119B">
        <w:t>:</w:t>
      </w:r>
      <w:r>
        <w:t xml:space="preserve"> </w:t>
      </w:r>
      <w:r w:rsidRPr="006B2E59">
        <w:t>(A + B) Product distribution of Facemask hydrocracking over 1%Pt-USY and 1%Pt-Beta at 300 °C for 60 and 30 minutes (20 bar H</w:t>
      </w:r>
      <w:r w:rsidRPr="000F07F4">
        <w:rPr>
          <w:vertAlign w:val="subscript"/>
        </w:rPr>
        <w:t>2</w:t>
      </w:r>
      <w:r w:rsidRPr="006B2E59">
        <w:t>).</w:t>
      </w:r>
    </w:p>
    <w:p w14:paraId="58C5759E" w14:textId="77777777" w:rsidR="00920101" w:rsidRPr="00550BCC" w:rsidRDefault="00920101" w:rsidP="00920101">
      <w:pPr>
        <w:pStyle w:val="CETBodytext"/>
        <w:rPr>
          <w:color w:val="833C0B" w:themeColor="accent2" w:themeShade="80"/>
          <w:sz w:val="16"/>
          <w:szCs w:val="16"/>
        </w:rPr>
      </w:pPr>
      <w:r>
        <w:rPr>
          <w:lang w:val="en-GB"/>
        </w:rPr>
        <w:t>As shown in Figure (4, C+D)</w:t>
      </w:r>
      <w:r w:rsidRPr="00DB13F9">
        <w:rPr>
          <w:lang w:val="en-GB"/>
        </w:rPr>
        <w:t xml:space="preserve"> </w:t>
      </w:r>
      <w:r>
        <w:rPr>
          <w:lang w:val="en-GB"/>
        </w:rPr>
        <w:t>shows a comparison</w:t>
      </w:r>
      <w:r w:rsidRPr="00DB13F9">
        <w:rPr>
          <w:lang w:val="en-GB"/>
        </w:rPr>
        <w:t xml:space="preserve"> between 1%Pt-USY and 1%Pt-Beta on facemask hydrocracking, </w:t>
      </w:r>
      <w:r>
        <w:rPr>
          <w:lang w:val="en-GB"/>
        </w:rPr>
        <w:t xml:space="preserve">and </w:t>
      </w:r>
      <w:r w:rsidRPr="00DB13F9">
        <w:rPr>
          <w:lang w:val="en-GB"/>
        </w:rPr>
        <w:t>the products were within the range of (C</w:t>
      </w:r>
      <w:r w:rsidRPr="000F07F4">
        <w:rPr>
          <w:vertAlign w:val="subscript"/>
          <w:lang w:val="en-GB"/>
        </w:rPr>
        <w:t>3</w:t>
      </w:r>
      <w:r w:rsidRPr="00DB13F9">
        <w:rPr>
          <w:lang w:val="en-GB"/>
        </w:rPr>
        <w:t>-C</w:t>
      </w:r>
      <w:r w:rsidRPr="000F07F4">
        <w:rPr>
          <w:vertAlign w:val="subscript"/>
          <w:lang w:val="en-GB"/>
        </w:rPr>
        <w:t>13</w:t>
      </w:r>
      <w:r w:rsidRPr="00DB13F9">
        <w:rPr>
          <w:lang w:val="en-GB"/>
        </w:rPr>
        <w:t>) with zeolite USY indicating that it produces higher boiling point hydrocarbons than zeolite Beta (C</w:t>
      </w:r>
      <w:r w:rsidRPr="000F07F4">
        <w:rPr>
          <w:vertAlign w:val="subscript"/>
          <w:lang w:val="en-GB"/>
        </w:rPr>
        <w:t>3</w:t>
      </w:r>
      <w:r w:rsidRPr="00DB13F9">
        <w:rPr>
          <w:lang w:val="en-GB"/>
        </w:rPr>
        <w:t>-C</w:t>
      </w:r>
      <w:r w:rsidRPr="000F07F4">
        <w:rPr>
          <w:vertAlign w:val="subscript"/>
          <w:lang w:val="en-GB"/>
        </w:rPr>
        <w:t>8</w:t>
      </w:r>
      <w:r w:rsidRPr="00DB13F9">
        <w:rPr>
          <w:lang w:val="en-GB"/>
        </w:rPr>
        <w:t>).</w:t>
      </w:r>
      <w:r>
        <w:rPr>
          <w:lang w:val="en-GB"/>
        </w:rPr>
        <w:t xml:space="preserve"> </w:t>
      </w:r>
    </w:p>
    <w:p w14:paraId="2A3E0D42" w14:textId="77777777" w:rsidR="00920101" w:rsidRDefault="00920101" w:rsidP="00920101">
      <w:pPr>
        <w:pStyle w:val="CETTabletitle"/>
      </w:pPr>
      <w:r w:rsidRPr="0007119B">
        <w:t xml:space="preserve">Table </w:t>
      </w:r>
      <w:fldSimple w:instr=" SEQ Table \* ARABIC ">
        <w:r w:rsidRPr="0007119B">
          <w:t>2</w:t>
        </w:r>
      </w:fldSimple>
      <w:r w:rsidRPr="0007119B">
        <w:t>:</w:t>
      </w:r>
      <w:r>
        <w:t xml:space="preserve"> </w:t>
      </w:r>
      <w:r w:rsidRPr="00270161">
        <w:t>The selectivity of gas, liquid and solid of PP and facemask hydrocracking</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11"/>
        <w:gridCol w:w="1098"/>
        <w:gridCol w:w="889"/>
        <w:gridCol w:w="730"/>
        <w:gridCol w:w="1701"/>
        <w:gridCol w:w="992"/>
        <w:gridCol w:w="1134"/>
        <w:gridCol w:w="1132"/>
      </w:tblGrid>
      <w:tr w:rsidR="00920101" w:rsidRPr="00B57B36" w14:paraId="6B985938" w14:textId="77777777" w:rsidTr="005D1460">
        <w:trPr>
          <w:trHeight w:val="162"/>
        </w:trPr>
        <w:tc>
          <w:tcPr>
            <w:tcW w:w="1111" w:type="dxa"/>
            <w:tcBorders>
              <w:top w:val="single" w:sz="12" w:space="0" w:color="008000"/>
              <w:bottom w:val="single" w:sz="6" w:space="0" w:color="008000"/>
            </w:tcBorders>
            <w:shd w:val="clear" w:color="auto" w:fill="FFFFFF"/>
          </w:tcPr>
          <w:p w14:paraId="298F752B" w14:textId="77777777" w:rsidR="00920101" w:rsidRPr="001353AA" w:rsidRDefault="00920101" w:rsidP="005D1460">
            <w:pPr>
              <w:pStyle w:val="CETBodytext"/>
              <w:jc w:val="left"/>
              <w:rPr>
                <w:b/>
                <w:bCs/>
                <w:lang w:val="en-GB"/>
              </w:rPr>
            </w:pPr>
            <w:r w:rsidRPr="001353AA">
              <w:rPr>
                <w:b/>
                <w:bCs/>
                <w:lang w:val="en-GB"/>
              </w:rPr>
              <w:t>Polymer</w:t>
            </w:r>
          </w:p>
        </w:tc>
        <w:tc>
          <w:tcPr>
            <w:tcW w:w="1098" w:type="dxa"/>
            <w:tcBorders>
              <w:top w:val="single" w:sz="12" w:space="0" w:color="008000"/>
              <w:bottom w:val="single" w:sz="6" w:space="0" w:color="008000"/>
            </w:tcBorders>
            <w:shd w:val="clear" w:color="auto" w:fill="FFFFFF"/>
          </w:tcPr>
          <w:p w14:paraId="7F8EC470" w14:textId="77777777" w:rsidR="00920101" w:rsidRPr="001353AA" w:rsidRDefault="00920101" w:rsidP="005D1460">
            <w:pPr>
              <w:pStyle w:val="CETBodytext"/>
              <w:jc w:val="center"/>
              <w:rPr>
                <w:b/>
                <w:bCs/>
                <w:lang w:val="en-GB"/>
              </w:rPr>
            </w:pPr>
            <w:r w:rsidRPr="001353AA">
              <w:rPr>
                <w:b/>
                <w:bCs/>
                <w:lang w:val="en-GB"/>
              </w:rPr>
              <w:t>Catalyst</w:t>
            </w:r>
          </w:p>
        </w:tc>
        <w:tc>
          <w:tcPr>
            <w:tcW w:w="889" w:type="dxa"/>
            <w:tcBorders>
              <w:top w:val="single" w:sz="12" w:space="0" w:color="008000"/>
              <w:bottom w:val="single" w:sz="6" w:space="0" w:color="008000"/>
            </w:tcBorders>
            <w:shd w:val="clear" w:color="auto" w:fill="FFFFFF"/>
          </w:tcPr>
          <w:p w14:paraId="23130A61" w14:textId="77777777" w:rsidR="00920101" w:rsidRPr="001353AA" w:rsidRDefault="00920101" w:rsidP="005D1460">
            <w:pPr>
              <w:pStyle w:val="CETBodytext"/>
              <w:jc w:val="center"/>
              <w:rPr>
                <w:b/>
                <w:bCs/>
                <w:lang w:val="en-GB"/>
              </w:rPr>
            </w:pPr>
            <w:r w:rsidRPr="001353AA">
              <w:rPr>
                <w:b/>
                <w:bCs/>
                <w:lang w:val="en-GB"/>
              </w:rPr>
              <w:t>Temp</w:t>
            </w:r>
          </w:p>
        </w:tc>
        <w:tc>
          <w:tcPr>
            <w:tcW w:w="730" w:type="dxa"/>
            <w:tcBorders>
              <w:top w:val="single" w:sz="12" w:space="0" w:color="008000"/>
              <w:bottom w:val="single" w:sz="6" w:space="0" w:color="008000"/>
            </w:tcBorders>
            <w:shd w:val="clear" w:color="auto" w:fill="FFFFFF"/>
          </w:tcPr>
          <w:p w14:paraId="2C81F14C" w14:textId="77777777" w:rsidR="00920101" w:rsidRPr="001353AA" w:rsidRDefault="00920101" w:rsidP="005D1460">
            <w:pPr>
              <w:pStyle w:val="CETBodytext"/>
              <w:ind w:right="-1"/>
              <w:jc w:val="center"/>
              <w:rPr>
                <w:rFonts w:cs="Arial"/>
                <w:b/>
                <w:bCs/>
                <w:szCs w:val="18"/>
                <w:lang w:val="en-GB"/>
              </w:rPr>
            </w:pPr>
            <w:r w:rsidRPr="001353AA">
              <w:rPr>
                <w:rFonts w:cs="Arial"/>
                <w:b/>
                <w:bCs/>
                <w:szCs w:val="18"/>
                <w:lang w:val="en-GB"/>
              </w:rPr>
              <w:t>Time</w:t>
            </w:r>
          </w:p>
        </w:tc>
        <w:tc>
          <w:tcPr>
            <w:tcW w:w="1701" w:type="dxa"/>
            <w:tcBorders>
              <w:top w:val="single" w:sz="12" w:space="0" w:color="008000"/>
              <w:bottom w:val="single" w:sz="6" w:space="0" w:color="008000"/>
            </w:tcBorders>
            <w:shd w:val="clear" w:color="auto" w:fill="FFFFFF"/>
          </w:tcPr>
          <w:p w14:paraId="1012C415" w14:textId="77777777" w:rsidR="00920101" w:rsidRPr="001353AA" w:rsidRDefault="00920101" w:rsidP="005D1460">
            <w:pPr>
              <w:pStyle w:val="CETBodytext"/>
              <w:ind w:right="-1"/>
              <w:jc w:val="center"/>
              <w:rPr>
                <w:rFonts w:cs="Arial"/>
                <w:b/>
                <w:bCs/>
                <w:szCs w:val="18"/>
                <w:lang w:val="en-GB"/>
              </w:rPr>
            </w:pPr>
            <w:r w:rsidRPr="001353AA">
              <w:rPr>
                <w:rFonts w:cs="Arial"/>
                <w:b/>
                <w:bCs/>
                <w:szCs w:val="18"/>
                <w:lang w:val="en-GB"/>
              </w:rPr>
              <w:t>Conversion %</w:t>
            </w:r>
          </w:p>
        </w:tc>
        <w:tc>
          <w:tcPr>
            <w:tcW w:w="992" w:type="dxa"/>
            <w:tcBorders>
              <w:top w:val="single" w:sz="12" w:space="0" w:color="008000"/>
              <w:bottom w:val="single" w:sz="6" w:space="0" w:color="008000"/>
            </w:tcBorders>
            <w:shd w:val="clear" w:color="auto" w:fill="FFFFFF"/>
          </w:tcPr>
          <w:p w14:paraId="3AF91A71" w14:textId="77777777" w:rsidR="00920101" w:rsidRPr="001353AA" w:rsidRDefault="00920101" w:rsidP="005D1460">
            <w:pPr>
              <w:pStyle w:val="CETBodytext"/>
              <w:ind w:right="-1"/>
              <w:jc w:val="center"/>
              <w:rPr>
                <w:rFonts w:cs="Arial"/>
                <w:b/>
                <w:bCs/>
                <w:szCs w:val="18"/>
                <w:lang w:val="en-GB"/>
              </w:rPr>
            </w:pPr>
            <w:r w:rsidRPr="001353AA">
              <w:rPr>
                <w:rFonts w:cs="Arial"/>
                <w:b/>
                <w:bCs/>
                <w:szCs w:val="18"/>
                <w:lang w:val="en-GB"/>
              </w:rPr>
              <w:t>Gas %</w:t>
            </w:r>
          </w:p>
        </w:tc>
        <w:tc>
          <w:tcPr>
            <w:tcW w:w="1134" w:type="dxa"/>
            <w:tcBorders>
              <w:top w:val="single" w:sz="12" w:space="0" w:color="008000"/>
              <w:bottom w:val="single" w:sz="6" w:space="0" w:color="008000"/>
            </w:tcBorders>
            <w:shd w:val="clear" w:color="auto" w:fill="FFFFFF"/>
          </w:tcPr>
          <w:p w14:paraId="01783F77" w14:textId="77777777" w:rsidR="00920101" w:rsidRPr="001353AA" w:rsidRDefault="00920101" w:rsidP="005D1460">
            <w:pPr>
              <w:pStyle w:val="CETBodytext"/>
              <w:ind w:right="-1"/>
              <w:jc w:val="center"/>
              <w:rPr>
                <w:rFonts w:cs="Arial"/>
                <w:b/>
                <w:bCs/>
                <w:szCs w:val="18"/>
                <w:lang w:val="en-GB"/>
              </w:rPr>
            </w:pPr>
            <w:r w:rsidRPr="001353AA">
              <w:rPr>
                <w:rFonts w:cs="Arial"/>
                <w:b/>
                <w:bCs/>
                <w:szCs w:val="18"/>
                <w:lang w:val="en-GB"/>
              </w:rPr>
              <w:t>Liquid %</w:t>
            </w:r>
          </w:p>
        </w:tc>
        <w:tc>
          <w:tcPr>
            <w:tcW w:w="1132" w:type="dxa"/>
            <w:tcBorders>
              <w:top w:val="single" w:sz="12" w:space="0" w:color="008000"/>
              <w:bottom w:val="single" w:sz="6" w:space="0" w:color="008000"/>
            </w:tcBorders>
            <w:shd w:val="clear" w:color="auto" w:fill="FFFFFF"/>
          </w:tcPr>
          <w:p w14:paraId="7D27669C" w14:textId="77777777" w:rsidR="00920101" w:rsidRPr="001353AA" w:rsidRDefault="00920101" w:rsidP="005D1460">
            <w:pPr>
              <w:pStyle w:val="CETBodytext"/>
              <w:ind w:right="-1"/>
              <w:jc w:val="center"/>
              <w:rPr>
                <w:rFonts w:cs="Arial"/>
                <w:b/>
                <w:bCs/>
                <w:szCs w:val="18"/>
                <w:lang w:val="en-GB"/>
              </w:rPr>
            </w:pPr>
            <w:r w:rsidRPr="001353AA">
              <w:rPr>
                <w:rFonts w:cs="Arial"/>
                <w:b/>
                <w:bCs/>
                <w:szCs w:val="18"/>
                <w:lang w:val="en-GB"/>
              </w:rPr>
              <w:t>Residue %</w:t>
            </w:r>
          </w:p>
        </w:tc>
      </w:tr>
      <w:tr w:rsidR="00920101" w:rsidRPr="00B57B36" w14:paraId="3E3F4AEE" w14:textId="77777777" w:rsidTr="005D1460">
        <w:trPr>
          <w:trHeight w:val="968"/>
        </w:trPr>
        <w:tc>
          <w:tcPr>
            <w:tcW w:w="1111" w:type="dxa"/>
            <w:shd w:val="clear" w:color="auto" w:fill="FFFFFF"/>
          </w:tcPr>
          <w:p w14:paraId="4EA3A9F6" w14:textId="77777777" w:rsidR="00920101" w:rsidRPr="00E14234" w:rsidRDefault="00920101" w:rsidP="005D1460">
            <w:pPr>
              <w:pStyle w:val="CETBodytext"/>
              <w:jc w:val="left"/>
              <w:rPr>
                <w:lang w:val="en-GB"/>
              </w:rPr>
            </w:pPr>
            <w:r>
              <w:rPr>
                <w:lang w:val="en-GB"/>
              </w:rPr>
              <w:t>PP</w:t>
            </w:r>
          </w:p>
          <w:p w14:paraId="77BC1C81" w14:textId="77777777" w:rsidR="00920101" w:rsidRPr="00E14234" w:rsidRDefault="00920101" w:rsidP="005D1460">
            <w:pPr>
              <w:pStyle w:val="CETBodytext"/>
              <w:jc w:val="left"/>
              <w:rPr>
                <w:lang w:val="en-GB"/>
              </w:rPr>
            </w:pPr>
            <w:r>
              <w:rPr>
                <w:lang w:val="en-GB"/>
              </w:rPr>
              <w:t>Facemask</w:t>
            </w:r>
          </w:p>
          <w:p w14:paraId="069E6E6A" w14:textId="77777777" w:rsidR="00920101" w:rsidRPr="00E14234" w:rsidRDefault="00920101" w:rsidP="005D1460">
            <w:pPr>
              <w:pStyle w:val="CETBodytext"/>
              <w:jc w:val="left"/>
              <w:rPr>
                <w:lang w:val="en-GB"/>
              </w:rPr>
            </w:pPr>
            <w:r>
              <w:rPr>
                <w:lang w:val="en-GB"/>
              </w:rPr>
              <w:t>PP</w:t>
            </w:r>
          </w:p>
          <w:p w14:paraId="06FE7B34" w14:textId="77777777" w:rsidR="00920101" w:rsidRPr="00E14234" w:rsidRDefault="00920101" w:rsidP="005D1460">
            <w:pPr>
              <w:pStyle w:val="CETBodytext"/>
              <w:jc w:val="left"/>
              <w:rPr>
                <w:lang w:val="en-GB"/>
              </w:rPr>
            </w:pPr>
            <w:r>
              <w:rPr>
                <w:lang w:val="en-GB"/>
              </w:rPr>
              <w:t>Facemask</w:t>
            </w:r>
          </w:p>
          <w:p w14:paraId="6BC9312F" w14:textId="77777777" w:rsidR="00920101" w:rsidRDefault="00920101" w:rsidP="005D1460">
            <w:pPr>
              <w:pStyle w:val="CETBodytext"/>
              <w:jc w:val="left"/>
              <w:rPr>
                <w:lang w:val="en-GB"/>
              </w:rPr>
            </w:pPr>
            <w:r>
              <w:rPr>
                <w:lang w:val="en-GB"/>
              </w:rPr>
              <w:t>Facemask</w:t>
            </w:r>
          </w:p>
          <w:p w14:paraId="2070DA3A" w14:textId="77777777" w:rsidR="00920101" w:rsidRDefault="00920101" w:rsidP="005D1460">
            <w:pPr>
              <w:pStyle w:val="CETBodytext"/>
              <w:jc w:val="left"/>
              <w:rPr>
                <w:lang w:val="en-GB"/>
              </w:rPr>
            </w:pPr>
            <w:r>
              <w:rPr>
                <w:lang w:val="en-GB"/>
              </w:rPr>
              <w:t>Facemask</w:t>
            </w:r>
          </w:p>
          <w:p w14:paraId="2470AA2E" w14:textId="77777777" w:rsidR="00920101" w:rsidRDefault="00920101" w:rsidP="005D1460">
            <w:pPr>
              <w:pStyle w:val="CETBodytext"/>
              <w:jc w:val="left"/>
              <w:rPr>
                <w:lang w:val="en-GB"/>
              </w:rPr>
            </w:pPr>
            <w:r>
              <w:rPr>
                <w:lang w:val="en-GB"/>
              </w:rPr>
              <w:t>Facemask</w:t>
            </w:r>
          </w:p>
          <w:p w14:paraId="113D68A7" w14:textId="77777777" w:rsidR="00920101" w:rsidRDefault="00920101" w:rsidP="005D1460">
            <w:pPr>
              <w:pStyle w:val="CETBodytext"/>
              <w:jc w:val="left"/>
              <w:rPr>
                <w:lang w:val="en-GB"/>
              </w:rPr>
            </w:pPr>
            <w:r>
              <w:rPr>
                <w:lang w:val="en-GB"/>
              </w:rPr>
              <w:t>Facemask</w:t>
            </w:r>
          </w:p>
          <w:p w14:paraId="7BE47C25" w14:textId="77777777" w:rsidR="00920101" w:rsidRDefault="00920101" w:rsidP="005D1460">
            <w:pPr>
              <w:pStyle w:val="CETBodytext"/>
              <w:jc w:val="left"/>
              <w:rPr>
                <w:lang w:val="en-GB"/>
              </w:rPr>
            </w:pPr>
            <w:r>
              <w:rPr>
                <w:lang w:val="en-GB"/>
              </w:rPr>
              <w:t>Facemask</w:t>
            </w:r>
          </w:p>
          <w:p w14:paraId="077BA177" w14:textId="77777777" w:rsidR="00920101" w:rsidRPr="00905DC6" w:rsidRDefault="00920101" w:rsidP="005D1460">
            <w:pPr>
              <w:pStyle w:val="CETBodytext"/>
              <w:jc w:val="left"/>
              <w:rPr>
                <w:lang w:val="en-GB"/>
              </w:rPr>
            </w:pPr>
            <w:r>
              <w:rPr>
                <w:lang w:val="en-GB"/>
              </w:rPr>
              <w:t>Facemask</w:t>
            </w:r>
          </w:p>
        </w:tc>
        <w:tc>
          <w:tcPr>
            <w:tcW w:w="1098" w:type="dxa"/>
            <w:shd w:val="clear" w:color="auto" w:fill="FFFFFF"/>
          </w:tcPr>
          <w:p w14:paraId="2CEDF5D3" w14:textId="77777777" w:rsidR="00920101" w:rsidRPr="00E14234" w:rsidRDefault="00920101" w:rsidP="005D1460">
            <w:pPr>
              <w:pStyle w:val="CETBodytext"/>
              <w:jc w:val="center"/>
              <w:rPr>
                <w:lang w:val="en-GB"/>
              </w:rPr>
            </w:pPr>
            <w:r>
              <w:rPr>
                <w:lang w:val="en-GB"/>
              </w:rPr>
              <w:t>1%Pt-USY</w:t>
            </w:r>
          </w:p>
          <w:p w14:paraId="3FFC5DD8" w14:textId="77777777" w:rsidR="00920101" w:rsidRPr="00E14234" w:rsidRDefault="00920101" w:rsidP="005D1460">
            <w:pPr>
              <w:pStyle w:val="CETBodytext"/>
              <w:jc w:val="center"/>
              <w:rPr>
                <w:lang w:val="en-GB"/>
              </w:rPr>
            </w:pPr>
            <w:r>
              <w:rPr>
                <w:lang w:val="en-GB"/>
              </w:rPr>
              <w:t>1%Pt-USY</w:t>
            </w:r>
          </w:p>
          <w:p w14:paraId="4FA8F82A" w14:textId="77777777" w:rsidR="00920101" w:rsidRPr="00E14234" w:rsidRDefault="00920101" w:rsidP="005D1460">
            <w:pPr>
              <w:pStyle w:val="CETBodytext"/>
              <w:jc w:val="center"/>
              <w:rPr>
                <w:lang w:val="en-GB"/>
              </w:rPr>
            </w:pPr>
            <w:r>
              <w:rPr>
                <w:lang w:val="en-GB"/>
              </w:rPr>
              <w:t>1%Pt-USY</w:t>
            </w:r>
          </w:p>
          <w:p w14:paraId="20455527" w14:textId="77777777" w:rsidR="00920101" w:rsidRDefault="00920101" w:rsidP="005D1460">
            <w:pPr>
              <w:pStyle w:val="CETBodytext"/>
              <w:jc w:val="center"/>
              <w:rPr>
                <w:lang w:val="en-GB"/>
              </w:rPr>
            </w:pPr>
            <w:r>
              <w:rPr>
                <w:lang w:val="en-GB"/>
              </w:rPr>
              <w:t>1%Pt-USY</w:t>
            </w:r>
          </w:p>
          <w:p w14:paraId="1EE0703E" w14:textId="77777777" w:rsidR="00920101" w:rsidRDefault="00920101" w:rsidP="005D1460">
            <w:pPr>
              <w:pStyle w:val="CETBodytext"/>
              <w:jc w:val="center"/>
              <w:rPr>
                <w:lang w:val="en-GB"/>
              </w:rPr>
            </w:pPr>
            <w:r>
              <w:rPr>
                <w:lang w:val="en-GB"/>
              </w:rPr>
              <w:t>1%Pt-Beta</w:t>
            </w:r>
          </w:p>
          <w:p w14:paraId="233EC168" w14:textId="77777777" w:rsidR="00920101" w:rsidRDefault="00920101" w:rsidP="005D1460">
            <w:pPr>
              <w:pStyle w:val="CETBodytext"/>
              <w:jc w:val="center"/>
              <w:rPr>
                <w:lang w:val="en-GB"/>
              </w:rPr>
            </w:pPr>
            <w:r>
              <w:rPr>
                <w:lang w:val="en-GB"/>
              </w:rPr>
              <w:t>1%Pt-Beta</w:t>
            </w:r>
          </w:p>
          <w:p w14:paraId="398E862D" w14:textId="77777777" w:rsidR="00920101" w:rsidRDefault="00920101" w:rsidP="005D1460">
            <w:pPr>
              <w:pStyle w:val="CETBodytext"/>
              <w:jc w:val="center"/>
              <w:rPr>
                <w:lang w:val="en-GB"/>
              </w:rPr>
            </w:pPr>
            <w:r>
              <w:rPr>
                <w:lang w:val="en-GB"/>
              </w:rPr>
              <w:t>1%Pt-Beta</w:t>
            </w:r>
          </w:p>
          <w:p w14:paraId="2BBE4C8F" w14:textId="77777777" w:rsidR="00920101" w:rsidRDefault="00920101" w:rsidP="005D1460">
            <w:pPr>
              <w:pStyle w:val="CETBodytext"/>
              <w:jc w:val="center"/>
              <w:rPr>
                <w:lang w:val="en-GB"/>
              </w:rPr>
            </w:pPr>
            <w:r>
              <w:rPr>
                <w:lang w:val="en-GB"/>
              </w:rPr>
              <w:t>1%Pt-USY</w:t>
            </w:r>
          </w:p>
          <w:p w14:paraId="3E8BC61E" w14:textId="77777777" w:rsidR="00920101" w:rsidRDefault="00920101" w:rsidP="005D1460">
            <w:pPr>
              <w:pStyle w:val="CETBodytext"/>
              <w:jc w:val="center"/>
              <w:rPr>
                <w:lang w:val="en-GB"/>
              </w:rPr>
            </w:pPr>
            <w:r>
              <w:rPr>
                <w:lang w:val="en-GB"/>
              </w:rPr>
              <w:t>1%Pt-Beta</w:t>
            </w:r>
          </w:p>
          <w:p w14:paraId="133C4145" w14:textId="77777777" w:rsidR="00920101" w:rsidRPr="00905DC6" w:rsidRDefault="00920101" w:rsidP="005D1460">
            <w:pPr>
              <w:pStyle w:val="CETBodytext"/>
              <w:jc w:val="center"/>
              <w:rPr>
                <w:lang w:val="en-GB"/>
              </w:rPr>
            </w:pPr>
            <w:r>
              <w:rPr>
                <w:lang w:val="en-GB"/>
              </w:rPr>
              <w:t>1%Pt-USY</w:t>
            </w:r>
          </w:p>
        </w:tc>
        <w:tc>
          <w:tcPr>
            <w:tcW w:w="889" w:type="dxa"/>
            <w:shd w:val="clear" w:color="auto" w:fill="FFFFFF"/>
          </w:tcPr>
          <w:p w14:paraId="09A0BBC7" w14:textId="77777777" w:rsidR="00920101" w:rsidRPr="00E14234" w:rsidRDefault="00920101" w:rsidP="005D1460">
            <w:pPr>
              <w:pStyle w:val="CETBodytext"/>
              <w:jc w:val="center"/>
              <w:rPr>
                <w:lang w:val="en-GB"/>
              </w:rPr>
            </w:pPr>
            <w:r>
              <w:rPr>
                <w:lang w:val="en-GB"/>
              </w:rPr>
              <w:t>300</w:t>
            </w:r>
          </w:p>
          <w:p w14:paraId="76506E3F" w14:textId="77777777" w:rsidR="00920101" w:rsidRPr="00E14234" w:rsidRDefault="00920101" w:rsidP="005D1460">
            <w:pPr>
              <w:pStyle w:val="CETBodytext"/>
              <w:jc w:val="center"/>
              <w:rPr>
                <w:lang w:val="en-GB"/>
              </w:rPr>
            </w:pPr>
            <w:r>
              <w:rPr>
                <w:lang w:val="en-GB"/>
              </w:rPr>
              <w:t>300</w:t>
            </w:r>
          </w:p>
          <w:p w14:paraId="06A2667E" w14:textId="77777777" w:rsidR="00920101" w:rsidRPr="00E14234" w:rsidRDefault="00920101" w:rsidP="005D1460">
            <w:pPr>
              <w:pStyle w:val="CETBodytext"/>
              <w:jc w:val="center"/>
              <w:rPr>
                <w:lang w:val="en-GB"/>
              </w:rPr>
            </w:pPr>
            <w:r>
              <w:rPr>
                <w:lang w:val="en-GB"/>
              </w:rPr>
              <w:t>330</w:t>
            </w:r>
          </w:p>
          <w:p w14:paraId="1F42B024" w14:textId="77777777" w:rsidR="00920101" w:rsidRPr="00E14234" w:rsidRDefault="00920101" w:rsidP="005D1460">
            <w:pPr>
              <w:pStyle w:val="CETBodytext"/>
              <w:jc w:val="center"/>
              <w:rPr>
                <w:lang w:val="en-GB"/>
              </w:rPr>
            </w:pPr>
            <w:r>
              <w:rPr>
                <w:lang w:val="en-GB"/>
              </w:rPr>
              <w:t>330</w:t>
            </w:r>
          </w:p>
          <w:p w14:paraId="5C6C09AD" w14:textId="77777777" w:rsidR="00920101" w:rsidRDefault="00920101" w:rsidP="005D1460">
            <w:pPr>
              <w:pStyle w:val="CETBodytext"/>
              <w:jc w:val="center"/>
              <w:rPr>
                <w:lang w:val="en-GB"/>
              </w:rPr>
            </w:pPr>
            <w:r>
              <w:rPr>
                <w:lang w:val="en-GB"/>
              </w:rPr>
              <w:t>270</w:t>
            </w:r>
          </w:p>
          <w:p w14:paraId="37BC1F52" w14:textId="77777777" w:rsidR="00920101" w:rsidRDefault="00920101" w:rsidP="005D1460">
            <w:pPr>
              <w:pStyle w:val="CETBodytext"/>
              <w:jc w:val="center"/>
              <w:rPr>
                <w:lang w:val="en-GB"/>
              </w:rPr>
            </w:pPr>
            <w:r>
              <w:rPr>
                <w:lang w:val="en-GB"/>
              </w:rPr>
              <w:t>300</w:t>
            </w:r>
          </w:p>
          <w:p w14:paraId="470A4EBA" w14:textId="77777777" w:rsidR="00920101" w:rsidRDefault="00920101" w:rsidP="005D1460">
            <w:pPr>
              <w:pStyle w:val="CETBodytext"/>
              <w:jc w:val="center"/>
              <w:rPr>
                <w:lang w:val="en-GB"/>
              </w:rPr>
            </w:pPr>
            <w:r>
              <w:rPr>
                <w:lang w:val="en-GB"/>
              </w:rPr>
              <w:t>330</w:t>
            </w:r>
          </w:p>
          <w:p w14:paraId="717B096A" w14:textId="77777777" w:rsidR="00920101" w:rsidRDefault="00920101" w:rsidP="005D1460">
            <w:pPr>
              <w:pStyle w:val="CETBodytext"/>
              <w:jc w:val="center"/>
              <w:rPr>
                <w:lang w:val="en-GB"/>
              </w:rPr>
            </w:pPr>
            <w:r>
              <w:rPr>
                <w:lang w:val="en-GB"/>
              </w:rPr>
              <w:t>270</w:t>
            </w:r>
          </w:p>
          <w:p w14:paraId="18250B2A" w14:textId="77777777" w:rsidR="00920101" w:rsidRPr="00E14234" w:rsidRDefault="00920101" w:rsidP="005D1460">
            <w:pPr>
              <w:pStyle w:val="CETBodytext"/>
              <w:jc w:val="center"/>
              <w:rPr>
                <w:lang w:val="en-GB"/>
              </w:rPr>
            </w:pPr>
            <w:r>
              <w:rPr>
                <w:lang w:val="en-GB"/>
              </w:rPr>
              <w:t>300</w:t>
            </w:r>
          </w:p>
          <w:p w14:paraId="602A1436" w14:textId="77777777" w:rsidR="00920101" w:rsidRPr="00905DC6" w:rsidRDefault="00920101" w:rsidP="005D1460">
            <w:pPr>
              <w:pStyle w:val="CETBodytext"/>
              <w:jc w:val="center"/>
              <w:rPr>
                <w:lang w:val="en-GB"/>
              </w:rPr>
            </w:pPr>
            <w:r>
              <w:rPr>
                <w:lang w:val="en-GB"/>
              </w:rPr>
              <w:t>300</w:t>
            </w:r>
          </w:p>
        </w:tc>
        <w:tc>
          <w:tcPr>
            <w:tcW w:w="730" w:type="dxa"/>
            <w:shd w:val="clear" w:color="auto" w:fill="FFFFFF"/>
          </w:tcPr>
          <w:p w14:paraId="4956402C" w14:textId="77777777" w:rsidR="00920101" w:rsidRDefault="00920101" w:rsidP="005D1460">
            <w:pPr>
              <w:pStyle w:val="CETBodytext"/>
              <w:ind w:right="-1"/>
              <w:jc w:val="center"/>
              <w:rPr>
                <w:rFonts w:cs="Arial"/>
                <w:szCs w:val="18"/>
                <w:lang w:val="en-GB"/>
              </w:rPr>
            </w:pPr>
            <w:r>
              <w:rPr>
                <w:rFonts w:cs="Arial"/>
                <w:szCs w:val="18"/>
                <w:lang w:val="en-GB"/>
              </w:rPr>
              <w:t>60</w:t>
            </w:r>
          </w:p>
          <w:p w14:paraId="0CE8A8B0" w14:textId="77777777" w:rsidR="00920101" w:rsidRDefault="00920101" w:rsidP="005D1460">
            <w:pPr>
              <w:pStyle w:val="CETBodytext"/>
              <w:ind w:right="-1"/>
              <w:jc w:val="center"/>
              <w:rPr>
                <w:rFonts w:cs="Arial"/>
                <w:szCs w:val="18"/>
                <w:lang w:val="en-GB"/>
              </w:rPr>
            </w:pPr>
            <w:r>
              <w:rPr>
                <w:rFonts w:cs="Arial"/>
                <w:szCs w:val="18"/>
                <w:lang w:val="en-GB"/>
              </w:rPr>
              <w:t>60</w:t>
            </w:r>
          </w:p>
          <w:p w14:paraId="549C0D1A" w14:textId="77777777" w:rsidR="00920101" w:rsidRDefault="00920101" w:rsidP="005D1460">
            <w:pPr>
              <w:pStyle w:val="CETBodytext"/>
              <w:ind w:right="-1"/>
              <w:jc w:val="center"/>
              <w:rPr>
                <w:rFonts w:cs="Arial"/>
                <w:szCs w:val="18"/>
                <w:lang w:val="en-GB"/>
              </w:rPr>
            </w:pPr>
            <w:r>
              <w:rPr>
                <w:rFonts w:cs="Arial"/>
                <w:szCs w:val="18"/>
                <w:lang w:val="en-GB"/>
              </w:rPr>
              <w:t>60</w:t>
            </w:r>
          </w:p>
          <w:p w14:paraId="01AF7BE3" w14:textId="77777777" w:rsidR="00920101" w:rsidRDefault="00920101" w:rsidP="005D1460">
            <w:pPr>
              <w:pStyle w:val="CETBodytext"/>
              <w:ind w:right="-1"/>
              <w:jc w:val="center"/>
              <w:rPr>
                <w:rFonts w:cs="Arial"/>
                <w:szCs w:val="18"/>
                <w:lang w:val="en-GB"/>
              </w:rPr>
            </w:pPr>
            <w:r>
              <w:rPr>
                <w:rFonts w:cs="Arial"/>
                <w:szCs w:val="18"/>
                <w:lang w:val="en-GB"/>
              </w:rPr>
              <w:t>60</w:t>
            </w:r>
          </w:p>
          <w:p w14:paraId="443053FC" w14:textId="77777777" w:rsidR="00920101" w:rsidRDefault="00920101" w:rsidP="005D1460">
            <w:pPr>
              <w:pStyle w:val="CETBodytext"/>
              <w:ind w:right="-1"/>
              <w:jc w:val="center"/>
              <w:rPr>
                <w:rFonts w:cs="Arial"/>
                <w:szCs w:val="18"/>
                <w:lang w:val="en-GB"/>
              </w:rPr>
            </w:pPr>
            <w:r>
              <w:rPr>
                <w:rFonts w:cs="Arial"/>
                <w:szCs w:val="18"/>
                <w:lang w:val="en-GB"/>
              </w:rPr>
              <w:t>60</w:t>
            </w:r>
          </w:p>
          <w:p w14:paraId="0D12BDF3" w14:textId="77777777" w:rsidR="00920101" w:rsidRDefault="00920101" w:rsidP="005D1460">
            <w:pPr>
              <w:pStyle w:val="CETBodytext"/>
              <w:ind w:right="-1"/>
              <w:jc w:val="center"/>
              <w:rPr>
                <w:rFonts w:cs="Arial"/>
                <w:szCs w:val="18"/>
                <w:lang w:val="en-GB"/>
              </w:rPr>
            </w:pPr>
            <w:r>
              <w:rPr>
                <w:rFonts w:cs="Arial"/>
                <w:szCs w:val="18"/>
                <w:lang w:val="en-GB"/>
              </w:rPr>
              <w:t>60</w:t>
            </w:r>
          </w:p>
          <w:p w14:paraId="230DBDC4" w14:textId="77777777" w:rsidR="00920101" w:rsidRDefault="00920101" w:rsidP="005D1460">
            <w:pPr>
              <w:pStyle w:val="CETBodytext"/>
              <w:ind w:right="-1"/>
              <w:jc w:val="center"/>
              <w:rPr>
                <w:rFonts w:cs="Arial"/>
                <w:szCs w:val="18"/>
                <w:lang w:val="en-GB"/>
              </w:rPr>
            </w:pPr>
            <w:r>
              <w:rPr>
                <w:rFonts w:cs="Arial"/>
                <w:szCs w:val="18"/>
                <w:lang w:val="en-GB"/>
              </w:rPr>
              <w:t>60</w:t>
            </w:r>
          </w:p>
          <w:p w14:paraId="6135BB4D" w14:textId="77777777" w:rsidR="00920101" w:rsidRDefault="00920101" w:rsidP="005D1460">
            <w:pPr>
              <w:pStyle w:val="CETBodytext"/>
              <w:ind w:right="-1"/>
              <w:jc w:val="center"/>
              <w:rPr>
                <w:rFonts w:cs="Arial"/>
                <w:szCs w:val="18"/>
                <w:lang w:val="en-GB"/>
              </w:rPr>
            </w:pPr>
            <w:r>
              <w:rPr>
                <w:rFonts w:cs="Arial"/>
                <w:szCs w:val="18"/>
                <w:lang w:val="en-GB"/>
              </w:rPr>
              <w:t>60</w:t>
            </w:r>
          </w:p>
          <w:p w14:paraId="655F7487" w14:textId="77777777" w:rsidR="00920101" w:rsidRDefault="00920101" w:rsidP="005D1460">
            <w:pPr>
              <w:pStyle w:val="CETBodytext"/>
              <w:ind w:right="-1"/>
              <w:jc w:val="center"/>
              <w:rPr>
                <w:rFonts w:cs="Arial"/>
                <w:szCs w:val="18"/>
                <w:lang w:val="en-GB"/>
              </w:rPr>
            </w:pPr>
            <w:r>
              <w:rPr>
                <w:rFonts w:cs="Arial"/>
                <w:szCs w:val="18"/>
                <w:lang w:val="en-GB"/>
              </w:rPr>
              <w:t>30</w:t>
            </w:r>
          </w:p>
          <w:p w14:paraId="1A064D0A" w14:textId="77777777" w:rsidR="00920101" w:rsidRPr="00905DC6" w:rsidRDefault="00920101" w:rsidP="005D1460">
            <w:pPr>
              <w:pStyle w:val="CETBodytext"/>
              <w:ind w:right="-1"/>
              <w:jc w:val="center"/>
              <w:rPr>
                <w:rFonts w:cs="Arial"/>
                <w:szCs w:val="18"/>
                <w:lang w:val="en-GB"/>
              </w:rPr>
            </w:pPr>
            <w:r>
              <w:rPr>
                <w:rFonts w:cs="Arial"/>
                <w:szCs w:val="18"/>
                <w:lang w:val="en-GB"/>
              </w:rPr>
              <w:t>30</w:t>
            </w:r>
          </w:p>
        </w:tc>
        <w:tc>
          <w:tcPr>
            <w:tcW w:w="1701" w:type="dxa"/>
            <w:shd w:val="clear" w:color="auto" w:fill="FFFFFF"/>
          </w:tcPr>
          <w:p w14:paraId="7EC644FB" w14:textId="77777777" w:rsidR="00920101" w:rsidRDefault="00920101" w:rsidP="005D1460">
            <w:pPr>
              <w:pStyle w:val="CETBodytext"/>
              <w:ind w:right="-1"/>
              <w:jc w:val="center"/>
              <w:rPr>
                <w:rFonts w:cs="Arial"/>
                <w:szCs w:val="18"/>
                <w:lang w:val="en-GB"/>
              </w:rPr>
            </w:pPr>
            <w:r>
              <w:rPr>
                <w:rFonts w:cs="Arial"/>
                <w:szCs w:val="18"/>
                <w:lang w:val="en-GB"/>
              </w:rPr>
              <w:t>87</w:t>
            </w:r>
          </w:p>
          <w:p w14:paraId="175154E9" w14:textId="77777777" w:rsidR="00920101" w:rsidRDefault="00920101" w:rsidP="005D1460">
            <w:pPr>
              <w:pStyle w:val="CETBodytext"/>
              <w:ind w:right="-1"/>
              <w:jc w:val="center"/>
              <w:rPr>
                <w:rFonts w:cs="Arial"/>
                <w:szCs w:val="18"/>
                <w:lang w:val="en-GB"/>
              </w:rPr>
            </w:pPr>
            <w:r>
              <w:rPr>
                <w:rFonts w:cs="Arial"/>
                <w:szCs w:val="18"/>
                <w:lang w:val="en-GB"/>
              </w:rPr>
              <w:t>98</w:t>
            </w:r>
          </w:p>
          <w:p w14:paraId="26332EB6" w14:textId="77777777" w:rsidR="00920101" w:rsidRDefault="00920101" w:rsidP="005D1460">
            <w:pPr>
              <w:pStyle w:val="CETBodytext"/>
              <w:ind w:right="-1"/>
              <w:jc w:val="center"/>
              <w:rPr>
                <w:rFonts w:cs="Arial"/>
                <w:szCs w:val="18"/>
                <w:lang w:val="en-GB"/>
              </w:rPr>
            </w:pPr>
            <w:r>
              <w:rPr>
                <w:rFonts w:cs="Arial"/>
                <w:szCs w:val="18"/>
                <w:lang w:val="en-GB"/>
              </w:rPr>
              <w:t>98</w:t>
            </w:r>
          </w:p>
          <w:p w14:paraId="1493BB36" w14:textId="77777777" w:rsidR="00920101" w:rsidRDefault="00920101" w:rsidP="005D1460">
            <w:pPr>
              <w:pStyle w:val="CETBodytext"/>
              <w:ind w:right="-1"/>
              <w:jc w:val="center"/>
              <w:rPr>
                <w:rFonts w:cs="Arial"/>
                <w:szCs w:val="18"/>
                <w:lang w:val="en-GB"/>
              </w:rPr>
            </w:pPr>
            <w:r>
              <w:rPr>
                <w:rFonts w:cs="Arial"/>
                <w:szCs w:val="18"/>
                <w:lang w:val="en-GB"/>
              </w:rPr>
              <w:t>99</w:t>
            </w:r>
          </w:p>
          <w:p w14:paraId="0281B7D9" w14:textId="77777777" w:rsidR="00920101" w:rsidRDefault="00920101" w:rsidP="005D1460">
            <w:pPr>
              <w:pStyle w:val="CETBodytext"/>
              <w:ind w:right="-1"/>
              <w:jc w:val="center"/>
              <w:rPr>
                <w:rFonts w:cs="Arial"/>
                <w:szCs w:val="18"/>
                <w:lang w:val="en-GB"/>
              </w:rPr>
            </w:pPr>
            <w:r>
              <w:rPr>
                <w:rFonts w:cs="Arial"/>
                <w:szCs w:val="18"/>
                <w:lang w:val="en-GB"/>
              </w:rPr>
              <w:t>45</w:t>
            </w:r>
          </w:p>
          <w:p w14:paraId="4576C045" w14:textId="77777777" w:rsidR="00920101" w:rsidRDefault="00920101" w:rsidP="005D1460">
            <w:pPr>
              <w:pStyle w:val="CETBodytext"/>
              <w:ind w:right="-1"/>
              <w:jc w:val="center"/>
              <w:rPr>
                <w:rFonts w:cs="Arial"/>
                <w:szCs w:val="18"/>
                <w:lang w:val="en-GB"/>
              </w:rPr>
            </w:pPr>
            <w:r>
              <w:rPr>
                <w:rFonts w:cs="Arial"/>
                <w:szCs w:val="18"/>
                <w:lang w:val="en-GB"/>
              </w:rPr>
              <w:t>99</w:t>
            </w:r>
          </w:p>
          <w:p w14:paraId="77BAF8FF" w14:textId="77777777" w:rsidR="00920101" w:rsidRDefault="00920101" w:rsidP="005D1460">
            <w:pPr>
              <w:pStyle w:val="CETBodytext"/>
              <w:ind w:right="-1"/>
              <w:jc w:val="center"/>
              <w:rPr>
                <w:rFonts w:cs="Arial"/>
                <w:szCs w:val="18"/>
                <w:lang w:val="en-GB"/>
              </w:rPr>
            </w:pPr>
            <w:r>
              <w:rPr>
                <w:rFonts w:cs="Arial"/>
                <w:szCs w:val="18"/>
                <w:lang w:val="en-GB"/>
              </w:rPr>
              <w:t>99</w:t>
            </w:r>
          </w:p>
          <w:p w14:paraId="5AEF4EFD" w14:textId="77777777" w:rsidR="00920101" w:rsidRDefault="00920101" w:rsidP="005D1460">
            <w:pPr>
              <w:pStyle w:val="CETBodytext"/>
              <w:ind w:right="-1"/>
              <w:jc w:val="center"/>
              <w:rPr>
                <w:rFonts w:cs="Arial"/>
                <w:szCs w:val="18"/>
                <w:lang w:val="en-GB"/>
              </w:rPr>
            </w:pPr>
            <w:r>
              <w:rPr>
                <w:rFonts w:cs="Arial"/>
                <w:szCs w:val="18"/>
                <w:lang w:val="en-GB"/>
              </w:rPr>
              <w:t>97</w:t>
            </w:r>
          </w:p>
          <w:p w14:paraId="29B61F98" w14:textId="77777777" w:rsidR="00920101" w:rsidRDefault="00920101" w:rsidP="005D1460">
            <w:pPr>
              <w:pStyle w:val="CETBodytext"/>
              <w:ind w:right="-1"/>
              <w:jc w:val="center"/>
              <w:rPr>
                <w:rFonts w:cs="Arial"/>
                <w:szCs w:val="18"/>
                <w:lang w:val="en-GB"/>
              </w:rPr>
            </w:pPr>
            <w:r>
              <w:rPr>
                <w:rFonts w:cs="Arial"/>
                <w:szCs w:val="18"/>
                <w:lang w:val="en-GB"/>
              </w:rPr>
              <w:t>96</w:t>
            </w:r>
          </w:p>
          <w:p w14:paraId="4AE6E256" w14:textId="77777777" w:rsidR="00920101" w:rsidRPr="00905DC6" w:rsidRDefault="00920101" w:rsidP="005D1460">
            <w:pPr>
              <w:pStyle w:val="CETBodytext"/>
              <w:ind w:right="-1"/>
              <w:jc w:val="center"/>
              <w:rPr>
                <w:rFonts w:cs="Arial"/>
                <w:szCs w:val="18"/>
                <w:lang w:val="en-GB"/>
              </w:rPr>
            </w:pPr>
            <w:r>
              <w:rPr>
                <w:rFonts w:cs="Arial"/>
                <w:szCs w:val="18"/>
                <w:lang w:val="en-GB"/>
              </w:rPr>
              <w:t>98</w:t>
            </w:r>
          </w:p>
        </w:tc>
        <w:tc>
          <w:tcPr>
            <w:tcW w:w="992" w:type="dxa"/>
            <w:shd w:val="clear" w:color="auto" w:fill="FFFFFF"/>
          </w:tcPr>
          <w:p w14:paraId="1685C819" w14:textId="77777777" w:rsidR="00920101" w:rsidRDefault="00920101" w:rsidP="005D1460">
            <w:pPr>
              <w:pStyle w:val="CETBodytext"/>
              <w:ind w:right="-1"/>
              <w:jc w:val="center"/>
              <w:rPr>
                <w:rFonts w:cs="Arial"/>
                <w:szCs w:val="18"/>
                <w:lang w:val="en-GB"/>
              </w:rPr>
            </w:pPr>
            <w:r>
              <w:rPr>
                <w:rFonts w:cs="Arial"/>
                <w:szCs w:val="18"/>
                <w:lang w:val="en-GB"/>
              </w:rPr>
              <w:t>34</w:t>
            </w:r>
          </w:p>
          <w:p w14:paraId="255A2C2B" w14:textId="77777777" w:rsidR="00920101" w:rsidRDefault="00920101" w:rsidP="005D1460">
            <w:pPr>
              <w:pStyle w:val="CETBodytext"/>
              <w:ind w:right="-1"/>
              <w:jc w:val="center"/>
              <w:rPr>
                <w:rFonts w:cs="Arial"/>
                <w:szCs w:val="18"/>
                <w:lang w:val="en-GB"/>
              </w:rPr>
            </w:pPr>
            <w:r>
              <w:rPr>
                <w:rFonts w:cs="Arial"/>
                <w:szCs w:val="18"/>
                <w:lang w:val="en-GB"/>
              </w:rPr>
              <w:t>29</w:t>
            </w:r>
          </w:p>
          <w:p w14:paraId="0F5D333C" w14:textId="77777777" w:rsidR="00920101" w:rsidRDefault="00920101" w:rsidP="005D1460">
            <w:pPr>
              <w:pStyle w:val="CETBodytext"/>
              <w:ind w:right="-1"/>
              <w:jc w:val="center"/>
              <w:rPr>
                <w:rFonts w:cs="Arial"/>
                <w:szCs w:val="18"/>
                <w:lang w:val="en-GB"/>
              </w:rPr>
            </w:pPr>
            <w:r>
              <w:rPr>
                <w:rFonts w:cs="Arial"/>
                <w:szCs w:val="18"/>
                <w:lang w:val="en-GB"/>
              </w:rPr>
              <w:t>30</w:t>
            </w:r>
          </w:p>
          <w:p w14:paraId="05832E76" w14:textId="77777777" w:rsidR="00920101" w:rsidRDefault="00920101" w:rsidP="005D1460">
            <w:pPr>
              <w:pStyle w:val="CETBodytext"/>
              <w:ind w:right="-1"/>
              <w:jc w:val="center"/>
              <w:rPr>
                <w:rFonts w:cs="Arial"/>
                <w:szCs w:val="18"/>
                <w:lang w:val="en-GB"/>
              </w:rPr>
            </w:pPr>
            <w:r>
              <w:rPr>
                <w:rFonts w:cs="Arial"/>
                <w:szCs w:val="18"/>
                <w:lang w:val="en-GB"/>
              </w:rPr>
              <w:t>72</w:t>
            </w:r>
          </w:p>
          <w:p w14:paraId="149A180C" w14:textId="77777777" w:rsidR="00920101" w:rsidRDefault="00920101" w:rsidP="005D1460">
            <w:pPr>
              <w:pStyle w:val="CETBodytext"/>
              <w:ind w:right="-1"/>
              <w:jc w:val="center"/>
              <w:rPr>
                <w:rFonts w:cs="Arial"/>
                <w:szCs w:val="18"/>
                <w:lang w:val="en-GB"/>
              </w:rPr>
            </w:pPr>
            <w:r>
              <w:rPr>
                <w:rFonts w:cs="Arial"/>
                <w:szCs w:val="18"/>
                <w:lang w:val="en-GB"/>
              </w:rPr>
              <w:t>45</w:t>
            </w:r>
          </w:p>
          <w:p w14:paraId="76993A28" w14:textId="77777777" w:rsidR="00920101" w:rsidRDefault="00920101" w:rsidP="005D1460">
            <w:pPr>
              <w:pStyle w:val="CETBodytext"/>
              <w:ind w:right="-1"/>
              <w:jc w:val="center"/>
              <w:rPr>
                <w:rFonts w:cs="Arial"/>
                <w:szCs w:val="18"/>
                <w:lang w:val="en-GB"/>
              </w:rPr>
            </w:pPr>
            <w:r>
              <w:rPr>
                <w:rFonts w:cs="Arial"/>
                <w:szCs w:val="18"/>
                <w:lang w:val="en-GB"/>
              </w:rPr>
              <w:t>55</w:t>
            </w:r>
          </w:p>
          <w:p w14:paraId="6F58FA67" w14:textId="77777777" w:rsidR="00920101" w:rsidRDefault="00920101" w:rsidP="005D1460">
            <w:pPr>
              <w:pStyle w:val="CETBodytext"/>
              <w:ind w:right="-1"/>
              <w:jc w:val="center"/>
              <w:rPr>
                <w:rFonts w:cs="Arial"/>
                <w:szCs w:val="18"/>
                <w:lang w:val="en-GB"/>
              </w:rPr>
            </w:pPr>
            <w:r>
              <w:rPr>
                <w:rFonts w:cs="Arial"/>
                <w:szCs w:val="18"/>
                <w:lang w:val="en-GB"/>
              </w:rPr>
              <w:t>99</w:t>
            </w:r>
          </w:p>
          <w:p w14:paraId="438B3495" w14:textId="77777777" w:rsidR="00920101" w:rsidRDefault="00920101" w:rsidP="005D1460">
            <w:pPr>
              <w:pStyle w:val="CETBodytext"/>
              <w:ind w:right="-1"/>
              <w:jc w:val="center"/>
              <w:rPr>
                <w:rFonts w:cs="Arial"/>
                <w:szCs w:val="18"/>
                <w:lang w:val="en-GB"/>
              </w:rPr>
            </w:pPr>
            <w:r>
              <w:rPr>
                <w:rFonts w:cs="Arial"/>
                <w:szCs w:val="18"/>
                <w:lang w:val="en-GB"/>
              </w:rPr>
              <w:t>33</w:t>
            </w:r>
          </w:p>
          <w:p w14:paraId="4E6D1903" w14:textId="77777777" w:rsidR="00920101" w:rsidRDefault="00920101" w:rsidP="005D1460">
            <w:pPr>
              <w:pStyle w:val="CETBodytext"/>
              <w:ind w:right="-1"/>
              <w:jc w:val="center"/>
              <w:rPr>
                <w:rFonts w:cs="Arial"/>
                <w:szCs w:val="18"/>
                <w:lang w:val="en-GB"/>
              </w:rPr>
            </w:pPr>
            <w:r>
              <w:rPr>
                <w:rFonts w:cs="Arial"/>
                <w:szCs w:val="18"/>
                <w:lang w:val="en-GB"/>
              </w:rPr>
              <w:t>68</w:t>
            </w:r>
          </w:p>
          <w:p w14:paraId="4A655C9C" w14:textId="77777777" w:rsidR="00920101" w:rsidRPr="00905DC6" w:rsidRDefault="00920101" w:rsidP="005D1460">
            <w:pPr>
              <w:pStyle w:val="CETBodytext"/>
              <w:ind w:right="-1"/>
              <w:jc w:val="center"/>
              <w:rPr>
                <w:rFonts w:cs="Arial"/>
                <w:szCs w:val="18"/>
                <w:lang w:val="en-GB"/>
              </w:rPr>
            </w:pPr>
            <w:r>
              <w:rPr>
                <w:rFonts w:cs="Arial"/>
                <w:szCs w:val="18"/>
                <w:lang w:val="en-GB"/>
              </w:rPr>
              <w:t>32</w:t>
            </w:r>
          </w:p>
        </w:tc>
        <w:tc>
          <w:tcPr>
            <w:tcW w:w="1134" w:type="dxa"/>
            <w:shd w:val="clear" w:color="auto" w:fill="FFFFFF"/>
          </w:tcPr>
          <w:p w14:paraId="2D9EA251" w14:textId="77777777" w:rsidR="00920101" w:rsidRDefault="00920101" w:rsidP="005D1460">
            <w:pPr>
              <w:pStyle w:val="CETBodytext"/>
              <w:ind w:right="-1"/>
              <w:jc w:val="center"/>
              <w:rPr>
                <w:rFonts w:cs="Arial"/>
                <w:szCs w:val="18"/>
                <w:lang w:val="en-GB"/>
              </w:rPr>
            </w:pPr>
            <w:r>
              <w:rPr>
                <w:rFonts w:cs="Arial"/>
                <w:szCs w:val="18"/>
                <w:lang w:val="en-GB"/>
              </w:rPr>
              <w:t>53</w:t>
            </w:r>
          </w:p>
          <w:p w14:paraId="39C5C881" w14:textId="77777777" w:rsidR="00920101" w:rsidRDefault="00920101" w:rsidP="005D1460">
            <w:pPr>
              <w:pStyle w:val="CETBodytext"/>
              <w:ind w:right="-1"/>
              <w:jc w:val="center"/>
              <w:rPr>
                <w:rFonts w:cs="Arial"/>
                <w:szCs w:val="18"/>
                <w:lang w:val="en-GB"/>
              </w:rPr>
            </w:pPr>
            <w:r>
              <w:rPr>
                <w:rFonts w:cs="Arial"/>
                <w:szCs w:val="18"/>
                <w:lang w:val="en-GB"/>
              </w:rPr>
              <w:t>69</w:t>
            </w:r>
          </w:p>
          <w:p w14:paraId="73A9D6D9" w14:textId="77777777" w:rsidR="00920101" w:rsidRDefault="00920101" w:rsidP="005D1460">
            <w:pPr>
              <w:pStyle w:val="CETBodytext"/>
              <w:ind w:right="-1"/>
              <w:jc w:val="center"/>
              <w:rPr>
                <w:rFonts w:cs="Arial"/>
                <w:szCs w:val="18"/>
                <w:lang w:val="en-GB"/>
              </w:rPr>
            </w:pPr>
            <w:r>
              <w:rPr>
                <w:rFonts w:cs="Arial"/>
                <w:szCs w:val="18"/>
                <w:lang w:val="en-GB"/>
              </w:rPr>
              <w:t>68</w:t>
            </w:r>
          </w:p>
          <w:p w14:paraId="55A448CE" w14:textId="77777777" w:rsidR="00920101" w:rsidRPr="00B57B36" w:rsidRDefault="00920101" w:rsidP="005D1460">
            <w:pPr>
              <w:pStyle w:val="CETBodytext"/>
              <w:ind w:right="-1"/>
              <w:jc w:val="center"/>
              <w:rPr>
                <w:rFonts w:cs="Arial"/>
                <w:szCs w:val="18"/>
                <w:lang w:val="en-GB"/>
              </w:rPr>
            </w:pPr>
            <w:r>
              <w:rPr>
                <w:rFonts w:cs="Arial"/>
                <w:szCs w:val="18"/>
                <w:lang w:val="en-GB"/>
              </w:rPr>
              <w:t>27</w:t>
            </w:r>
          </w:p>
          <w:p w14:paraId="1A89D7FC" w14:textId="77777777" w:rsidR="00920101" w:rsidRDefault="00920101" w:rsidP="005D1460">
            <w:pPr>
              <w:pStyle w:val="CETBodytext"/>
              <w:ind w:right="-1"/>
              <w:jc w:val="center"/>
              <w:rPr>
                <w:rFonts w:cs="Arial"/>
                <w:szCs w:val="18"/>
                <w:lang w:val="en-GB"/>
              </w:rPr>
            </w:pPr>
            <w:r>
              <w:rPr>
                <w:rFonts w:cs="Arial"/>
                <w:szCs w:val="18"/>
                <w:lang w:val="en-GB"/>
              </w:rPr>
              <w:t>0</w:t>
            </w:r>
          </w:p>
          <w:p w14:paraId="352FAD86" w14:textId="77777777" w:rsidR="00920101" w:rsidRDefault="00920101" w:rsidP="005D1460">
            <w:pPr>
              <w:pStyle w:val="CETBodytext"/>
              <w:ind w:right="-1"/>
              <w:jc w:val="center"/>
              <w:rPr>
                <w:rFonts w:cs="Arial"/>
                <w:szCs w:val="18"/>
                <w:lang w:val="en-GB"/>
              </w:rPr>
            </w:pPr>
            <w:r>
              <w:rPr>
                <w:rFonts w:cs="Arial"/>
                <w:szCs w:val="18"/>
                <w:lang w:val="en-GB"/>
              </w:rPr>
              <w:t>44</w:t>
            </w:r>
          </w:p>
          <w:p w14:paraId="0120B265" w14:textId="77777777" w:rsidR="00920101" w:rsidRDefault="00920101" w:rsidP="005D1460">
            <w:pPr>
              <w:pStyle w:val="CETBodytext"/>
              <w:ind w:right="-1"/>
              <w:jc w:val="center"/>
              <w:rPr>
                <w:rFonts w:cs="Arial"/>
                <w:szCs w:val="18"/>
                <w:lang w:val="en-GB"/>
              </w:rPr>
            </w:pPr>
            <w:r>
              <w:rPr>
                <w:rFonts w:cs="Arial"/>
                <w:szCs w:val="18"/>
                <w:lang w:val="en-GB"/>
              </w:rPr>
              <w:t>0</w:t>
            </w:r>
          </w:p>
          <w:p w14:paraId="5E686F75" w14:textId="77777777" w:rsidR="00920101" w:rsidRDefault="00920101" w:rsidP="005D1460">
            <w:pPr>
              <w:pStyle w:val="CETBodytext"/>
              <w:ind w:right="-1"/>
              <w:jc w:val="center"/>
              <w:rPr>
                <w:rFonts w:cs="Arial"/>
                <w:szCs w:val="18"/>
                <w:lang w:val="en-GB"/>
              </w:rPr>
            </w:pPr>
            <w:r>
              <w:rPr>
                <w:rFonts w:cs="Arial"/>
                <w:szCs w:val="18"/>
                <w:lang w:val="en-GB"/>
              </w:rPr>
              <w:t>64</w:t>
            </w:r>
          </w:p>
          <w:p w14:paraId="6788C022" w14:textId="77777777" w:rsidR="00920101" w:rsidRDefault="00920101" w:rsidP="005D1460">
            <w:pPr>
              <w:pStyle w:val="CETBodytext"/>
              <w:ind w:right="-1"/>
              <w:jc w:val="center"/>
              <w:rPr>
                <w:rFonts w:cs="Arial"/>
                <w:szCs w:val="18"/>
                <w:lang w:val="en-GB"/>
              </w:rPr>
            </w:pPr>
            <w:r>
              <w:rPr>
                <w:rFonts w:cs="Arial"/>
                <w:szCs w:val="18"/>
                <w:lang w:val="en-GB"/>
              </w:rPr>
              <w:t>28</w:t>
            </w:r>
          </w:p>
          <w:p w14:paraId="043FBB7C" w14:textId="77777777" w:rsidR="00920101" w:rsidRPr="00420D0E" w:rsidRDefault="00920101" w:rsidP="005D1460">
            <w:pPr>
              <w:pStyle w:val="CETBodytext"/>
              <w:ind w:right="-1"/>
              <w:jc w:val="center"/>
              <w:rPr>
                <w:rFonts w:cs="Arial"/>
                <w:szCs w:val="18"/>
                <w:lang w:val="en-GB"/>
              </w:rPr>
            </w:pPr>
            <w:r>
              <w:rPr>
                <w:rFonts w:cs="Arial"/>
                <w:szCs w:val="18"/>
                <w:lang w:val="en-GB"/>
              </w:rPr>
              <w:t>66</w:t>
            </w:r>
          </w:p>
        </w:tc>
        <w:tc>
          <w:tcPr>
            <w:tcW w:w="1132" w:type="dxa"/>
            <w:shd w:val="clear" w:color="auto" w:fill="FFFFFF"/>
          </w:tcPr>
          <w:p w14:paraId="1C084370" w14:textId="77777777" w:rsidR="00920101" w:rsidRDefault="00920101" w:rsidP="005D1460">
            <w:pPr>
              <w:pStyle w:val="CETBodytext"/>
              <w:ind w:right="-1"/>
              <w:jc w:val="center"/>
              <w:rPr>
                <w:rFonts w:cs="Arial"/>
                <w:szCs w:val="18"/>
                <w:lang w:val="en-GB"/>
              </w:rPr>
            </w:pPr>
            <w:r>
              <w:rPr>
                <w:rFonts w:cs="Arial"/>
                <w:szCs w:val="18"/>
                <w:lang w:val="en-GB"/>
              </w:rPr>
              <w:t>13</w:t>
            </w:r>
          </w:p>
          <w:p w14:paraId="040FECCB" w14:textId="77777777" w:rsidR="00920101" w:rsidRDefault="00920101" w:rsidP="005D1460">
            <w:pPr>
              <w:pStyle w:val="CETBodytext"/>
              <w:ind w:right="-1"/>
              <w:jc w:val="center"/>
              <w:rPr>
                <w:rFonts w:cs="Arial"/>
                <w:szCs w:val="18"/>
                <w:lang w:val="en-GB"/>
              </w:rPr>
            </w:pPr>
            <w:r>
              <w:rPr>
                <w:rFonts w:cs="Arial"/>
                <w:szCs w:val="18"/>
                <w:lang w:val="en-GB"/>
              </w:rPr>
              <w:t>2</w:t>
            </w:r>
          </w:p>
          <w:p w14:paraId="71FBD7B3" w14:textId="77777777" w:rsidR="00920101" w:rsidRDefault="00920101" w:rsidP="005D1460">
            <w:pPr>
              <w:pStyle w:val="CETBodytext"/>
              <w:ind w:right="-1"/>
              <w:jc w:val="center"/>
              <w:rPr>
                <w:rFonts w:cs="Arial"/>
                <w:szCs w:val="18"/>
                <w:lang w:val="en-GB"/>
              </w:rPr>
            </w:pPr>
            <w:r>
              <w:rPr>
                <w:rFonts w:cs="Arial"/>
                <w:szCs w:val="18"/>
                <w:lang w:val="en-GB"/>
              </w:rPr>
              <w:t>2</w:t>
            </w:r>
          </w:p>
          <w:p w14:paraId="658ED175" w14:textId="77777777" w:rsidR="00920101" w:rsidRDefault="00920101" w:rsidP="005D1460">
            <w:pPr>
              <w:pStyle w:val="CETBodytext"/>
              <w:ind w:right="-1"/>
              <w:jc w:val="center"/>
              <w:rPr>
                <w:rFonts w:cs="Arial"/>
                <w:szCs w:val="18"/>
                <w:lang w:val="en-GB"/>
              </w:rPr>
            </w:pPr>
            <w:r>
              <w:rPr>
                <w:rFonts w:cs="Arial"/>
                <w:szCs w:val="18"/>
                <w:lang w:val="en-GB"/>
              </w:rPr>
              <w:t>1</w:t>
            </w:r>
          </w:p>
          <w:p w14:paraId="330650D8" w14:textId="77777777" w:rsidR="00920101" w:rsidRDefault="00920101" w:rsidP="005D1460">
            <w:pPr>
              <w:pStyle w:val="CETBodytext"/>
              <w:ind w:right="-1"/>
              <w:jc w:val="center"/>
              <w:rPr>
                <w:rFonts w:cs="Arial"/>
                <w:szCs w:val="18"/>
                <w:lang w:val="en-GB"/>
              </w:rPr>
            </w:pPr>
            <w:r>
              <w:rPr>
                <w:rFonts w:cs="Arial"/>
                <w:szCs w:val="18"/>
                <w:lang w:val="en-GB"/>
              </w:rPr>
              <w:t>55</w:t>
            </w:r>
          </w:p>
          <w:p w14:paraId="1458320F" w14:textId="77777777" w:rsidR="00920101" w:rsidRDefault="00920101" w:rsidP="005D1460">
            <w:pPr>
              <w:pStyle w:val="CETBodytext"/>
              <w:ind w:right="-1"/>
              <w:jc w:val="center"/>
              <w:rPr>
                <w:rFonts w:cs="Arial"/>
                <w:szCs w:val="18"/>
                <w:lang w:val="en-GB"/>
              </w:rPr>
            </w:pPr>
            <w:r>
              <w:rPr>
                <w:rFonts w:cs="Arial"/>
                <w:szCs w:val="18"/>
                <w:lang w:val="en-GB"/>
              </w:rPr>
              <w:t>1</w:t>
            </w:r>
          </w:p>
          <w:p w14:paraId="168516C9" w14:textId="77777777" w:rsidR="00920101" w:rsidRDefault="00920101" w:rsidP="005D1460">
            <w:pPr>
              <w:pStyle w:val="CETBodytext"/>
              <w:ind w:right="-1"/>
              <w:jc w:val="center"/>
              <w:rPr>
                <w:rFonts w:cs="Arial"/>
                <w:szCs w:val="18"/>
                <w:lang w:val="en-GB"/>
              </w:rPr>
            </w:pPr>
            <w:r>
              <w:rPr>
                <w:rFonts w:cs="Arial"/>
                <w:szCs w:val="18"/>
                <w:lang w:val="en-GB"/>
              </w:rPr>
              <w:t>1</w:t>
            </w:r>
          </w:p>
          <w:p w14:paraId="0AC7CC61" w14:textId="77777777" w:rsidR="00920101" w:rsidRDefault="00920101" w:rsidP="005D1460">
            <w:pPr>
              <w:pStyle w:val="CETBodytext"/>
              <w:ind w:right="-1"/>
              <w:jc w:val="center"/>
              <w:rPr>
                <w:rFonts w:cs="Arial"/>
                <w:szCs w:val="18"/>
                <w:lang w:val="en-GB"/>
              </w:rPr>
            </w:pPr>
            <w:r>
              <w:rPr>
                <w:rFonts w:cs="Arial"/>
                <w:szCs w:val="18"/>
                <w:lang w:val="en-GB"/>
              </w:rPr>
              <w:t>3</w:t>
            </w:r>
          </w:p>
          <w:p w14:paraId="2DF850EC" w14:textId="77777777" w:rsidR="00920101" w:rsidRDefault="00920101" w:rsidP="005D1460">
            <w:pPr>
              <w:pStyle w:val="CETBodytext"/>
              <w:ind w:right="-1"/>
              <w:jc w:val="center"/>
              <w:rPr>
                <w:rFonts w:cs="Arial"/>
                <w:szCs w:val="18"/>
                <w:lang w:val="en-GB"/>
              </w:rPr>
            </w:pPr>
            <w:r>
              <w:rPr>
                <w:rFonts w:cs="Arial"/>
                <w:szCs w:val="18"/>
                <w:lang w:val="en-GB"/>
              </w:rPr>
              <w:t>4</w:t>
            </w:r>
          </w:p>
          <w:p w14:paraId="2A45439B" w14:textId="77777777" w:rsidR="00920101" w:rsidRPr="00905DC6" w:rsidRDefault="00920101" w:rsidP="005D1460">
            <w:pPr>
              <w:pStyle w:val="CETBodytext"/>
              <w:ind w:right="-1"/>
              <w:jc w:val="center"/>
              <w:rPr>
                <w:rFonts w:cs="Arial"/>
                <w:szCs w:val="18"/>
                <w:lang w:val="en-GB"/>
              </w:rPr>
            </w:pPr>
            <w:r>
              <w:rPr>
                <w:rFonts w:cs="Arial"/>
                <w:szCs w:val="18"/>
                <w:lang w:val="en-GB"/>
              </w:rPr>
              <w:t>2</w:t>
            </w:r>
          </w:p>
        </w:tc>
      </w:tr>
    </w:tbl>
    <w:p w14:paraId="1D2A5A17" w14:textId="77777777" w:rsidR="00920101" w:rsidRDefault="00920101" w:rsidP="00920101">
      <w:pPr>
        <w:pStyle w:val="CETBodytext"/>
      </w:pPr>
    </w:p>
    <w:p w14:paraId="7CCEDEB9" w14:textId="77777777" w:rsidR="00920101" w:rsidRPr="00DB13F9" w:rsidRDefault="00920101" w:rsidP="00920101">
      <w:pPr>
        <w:pStyle w:val="CETBodytext"/>
      </w:pPr>
      <w:r w:rsidRPr="00832832">
        <w:lastRenderedPageBreak/>
        <w:t>Furthermore</w:t>
      </w:r>
      <w:r w:rsidRPr="00646B1E">
        <w:t xml:space="preserve">, the conversion at 270°C </w:t>
      </w:r>
      <w:r>
        <w:t xml:space="preserve">(Table 1) </w:t>
      </w:r>
      <w:r w:rsidRPr="00646B1E">
        <w:t>increased significantly from 45% (Pt-Beta) to 97% (Pt-USY)</w:t>
      </w:r>
      <w:r>
        <w:t xml:space="preserve"> as well as</w:t>
      </w:r>
      <w:r w:rsidRPr="002700E7">
        <w:rPr>
          <w:lang w:val="en-GB"/>
        </w:rPr>
        <w:t xml:space="preserve"> a high amount of coke was observed</w:t>
      </w:r>
      <w:r w:rsidRPr="002700E7">
        <w:rPr>
          <w:rFonts w:ascii="Times New Roman" w:eastAsiaTheme="minorHAnsi" w:hAnsi="Times New Roman"/>
          <w:color w:val="000000"/>
          <w:sz w:val="23"/>
          <w:szCs w:val="23"/>
          <w:lang w:val="en-GB"/>
        </w:rPr>
        <w:t xml:space="preserve"> </w:t>
      </w:r>
      <w:r w:rsidRPr="002700E7">
        <w:rPr>
          <w:lang w:val="en-GB"/>
        </w:rPr>
        <w:t xml:space="preserve">at 300°C for 60 minutes,  with the zeolite USY (2.7%), which was more than the zeolite Beta (1.6%) due to the presence of </w:t>
      </w:r>
      <w:proofErr w:type="spellStart"/>
      <w:r>
        <w:rPr>
          <w:lang w:val="en-GB"/>
        </w:rPr>
        <w:t>super</w:t>
      </w:r>
      <w:r w:rsidRPr="002700E7">
        <w:rPr>
          <w:lang w:val="en-GB"/>
        </w:rPr>
        <w:t>cages</w:t>
      </w:r>
      <w:proofErr w:type="spellEnd"/>
      <w:r w:rsidRPr="002700E7">
        <w:rPr>
          <w:lang w:val="en-GB"/>
        </w:rPr>
        <w:t xml:space="preserve"> within a ~1.3 nm diameter structure</w:t>
      </w:r>
      <w:r>
        <w:rPr>
          <w:lang w:val="en-GB"/>
        </w:rPr>
        <w:fldChar w:fldCharType="begin"/>
      </w:r>
      <w:r>
        <w:rPr>
          <w:lang w:val="en-GB"/>
        </w:rPr>
        <w:instrText xml:space="preserve"> ADDIN EN.CITE &lt;EndNote&gt;&lt;Cite&gt;&lt;Author&gt;Garforth&lt;/Author&gt;&lt;Year&gt;1997&lt;/Year&gt;&lt;RecNum&gt;14&lt;/RecNum&gt;&lt;DisplayText&gt;(Garforth, Fiddy et al. 1997)&lt;/DisplayText&gt;&lt;record&gt;&lt;rec-number&gt;14&lt;/rec-number&gt;&lt;foreign-keys&gt;&lt;key app="EN" db-id="92e2ws0vpwswa0evz20vwppfzww95r50axts" timestamp="1674952801"&gt;14&lt;/key&gt;&lt;/foreign-keys&gt;&lt;ref-type name="Journal Article"&gt;17&lt;/ref-type&gt;&lt;contributors&gt;&lt;authors&gt;&lt;author&gt;Garforth, A&lt;/author&gt;&lt;author&gt;Fiddy, S&lt;/author&gt;&lt;author&gt;Lin, Y-H&lt;/author&gt;&lt;author&gt;Ghanbari-Siakhali, A&lt;/author&gt;&lt;author&gt;Sharratt, PN&lt;/author&gt;&lt;author&gt;Dwyer, J&lt;/author&gt;&lt;/authors&gt;&lt;/contributors&gt;&lt;titles&gt;&lt;title&gt;Catalytic degradation of high density polyethylene: an evaluation of mesoporous and microporous catalysts using thermal analysis&lt;/title&gt;&lt;secondary-title&gt;Thermochimica Acta&lt;/secondary-title&gt;&lt;/titles&gt;&lt;periodical&gt;&lt;full-title&gt;Thermochimica Acta&lt;/full-title&gt;&lt;/periodical&gt;&lt;pages&gt;65-69&lt;/pages&gt;&lt;volume&gt;294&lt;/volume&gt;&lt;number&gt;1&lt;/number&gt;&lt;dates&gt;&lt;year&gt;1997&lt;/year&gt;&lt;/dates&gt;&lt;isbn&gt;0040-6031&lt;/isbn&gt;&lt;urls&gt;&lt;/urls&gt;&lt;/record&gt;&lt;/Cite&gt;&lt;/EndNote&gt;</w:instrText>
      </w:r>
      <w:r>
        <w:rPr>
          <w:lang w:val="en-GB"/>
        </w:rPr>
        <w:fldChar w:fldCharType="separate"/>
      </w:r>
      <w:r>
        <w:rPr>
          <w:noProof/>
          <w:lang w:val="en-GB"/>
        </w:rPr>
        <w:t>(Garforth et al., 1997)</w:t>
      </w:r>
      <w:r>
        <w:rPr>
          <w:lang w:val="en-GB"/>
        </w:rPr>
        <w:fldChar w:fldCharType="end"/>
      </w:r>
      <w:r w:rsidRPr="002700E7">
        <w:rPr>
          <w:lang w:val="en-GB"/>
        </w:rPr>
        <w:t>.</w:t>
      </w:r>
      <w:r>
        <w:rPr>
          <w:lang w:val="en-GB"/>
        </w:rPr>
        <w:t xml:space="preserve"> </w:t>
      </w:r>
      <w:r>
        <w:t>Finally, t</w:t>
      </w:r>
      <w:r w:rsidRPr="00646B1E">
        <w:t xml:space="preserve">he influence of batch time for the hydrocracking of facemask </w:t>
      </w:r>
      <w:r>
        <w:t>showed that</w:t>
      </w:r>
      <w:r w:rsidRPr="00646B1E">
        <w:t xml:space="preserve"> increasing time from 30</w:t>
      </w:r>
      <w:r>
        <w:t xml:space="preserve"> to </w:t>
      </w:r>
      <w:r w:rsidRPr="00646B1E">
        <w:t>60 min</w:t>
      </w:r>
      <w:r>
        <w:t>utes</w:t>
      </w:r>
      <w:r w:rsidRPr="00646B1E">
        <w:t xml:space="preserve"> resulted in lower carbon number products due to increas</w:t>
      </w:r>
      <w:r>
        <w:t>ed</w:t>
      </w:r>
      <w:r w:rsidRPr="00646B1E">
        <w:t xml:space="preserve"> cracking</w:t>
      </w:r>
      <w:r>
        <w:t>,</w:t>
      </w:r>
      <w:r w:rsidRPr="00646B1E">
        <w:t xml:space="preserve"> as shown in Figure</w:t>
      </w:r>
      <w:r>
        <w:t xml:space="preserve"> </w:t>
      </w:r>
      <w:r w:rsidRPr="008E0B81">
        <w:t>5</w:t>
      </w:r>
      <w:r w:rsidRPr="00646B1E">
        <w:t>.</w:t>
      </w:r>
    </w:p>
    <w:p w14:paraId="27434C28" w14:textId="77777777" w:rsidR="00920101" w:rsidRDefault="00920101" w:rsidP="00920101">
      <w:pPr>
        <w:pStyle w:val="CETHeading1"/>
        <w:rPr>
          <w:lang w:val="en-GB"/>
        </w:rPr>
      </w:pPr>
      <w:r w:rsidRPr="00B57B36">
        <w:rPr>
          <w:lang w:val="en-GB"/>
        </w:rPr>
        <w:t>Conclusions</w:t>
      </w:r>
    </w:p>
    <w:p w14:paraId="5BCD5234" w14:textId="75D0596B" w:rsidR="00920101" w:rsidRPr="00387FEE" w:rsidRDefault="00920101" w:rsidP="00920101">
      <w:pPr>
        <w:pStyle w:val="CETBodytext"/>
        <w:rPr>
          <w:color w:val="FF0000"/>
          <w:lang w:val="en-GB"/>
        </w:rPr>
      </w:pPr>
      <w:r w:rsidRPr="00A461B9">
        <w:rPr>
          <w:lang w:val="en-GB"/>
        </w:rPr>
        <w:t>Hydrocracking is a promising alternative to pyrolysis for the transformation of polymer wastes into useful chemical products that can be used by the chemical industry as feedstocks or fuels. This work found that zeolitic catalysts have great potential for reducing the energy needed for polyolefin plastic conversion. Catalytic hydrocracking of single use facemasks and polypropylene using bifunctional zeolite catalysts</w:t>
      </w:r>
      <w:r>
        <w:rPr>
          <w:lang w:val="en-GB"/>
        </w:rPr>
        <w:t>,</w:t>
      </w:r>
      <w:r w:rsidRPr="00A461B9">
        <w:rPr>
          <w:lang w:val="en-GB"/>
        </w:rPr>
        <w:t xml:space="preserve"> at temperatures ranging from 270 to 330°C and a hydrogen pressure of 20 bar</w:t>
      </w:r>
      <w:r>
        <w:rPr>
          <w:lang w:val="en-GB"/>
        </w:rPr>
        <w:t>,</w:t>
      </w:r>
      <w:r w:rsidRPr="00A461B9">
        <w:rPr>
          <w:lang w:val="en-GB"/>
        </w:rPr>
        <w:t xml:space="preserve"> resulted in low molecular weight hydrocarbons which can be classified as naphtha and liquefied petroleum gas. Detailed analysis indicates that the presence of highly acidic catalysts can be used to suitably recycle polymers into useful hydrocarbons with C</w:t>
      </w:r>
      <w:r>
        <w:rPr>
          <w:vertAlign w:val="subscript"/>
          <w:lang w:val="en-GB"/>
        </w:rPr>
        <w:t>3</w:t>
      </w:r>
      <w:r w:rsidRPr="00A461B9">
        <w:rPr>
          <w:lang w:val="en-GB"/>
        </w:rPr>
        <w:t>-C</w:t>
      </w:r>
      <w:r w:rsidRPr="00A461B9">
        <w:rPr>
          <w:vertAlign w:val="subscript"/>
          <w:lang w:val="en-GB"/>
        </w:rPr>
        <w:t>16</w:t>
      </w:r>
      <w:r w:rsidRPr="00A461B9">
        <w:rPr>
          <w:lang w:val="en-GB"/>
        </w:rPr>
        <w:t xml:space="preserve"> product distributions. The product distribution can be altered with manipulation of temperature</w:t>
      </w:r>
      <w:r>
        <w:rPr>
          <w:lang w:val="en-GB"/>
        </w:rPr>
        <w:t xml:space="preserve">, batch time, </w:t>
      </w:r>
      <w:r w:rsidR="005D47C0">
        <w:rPr>
          <w:lang w:val="en-GB"/>
        </w:rPr>
        <w:t>and</w:t>
      </w:r>
      <w:r>
        <w:rPr>
          <w:lang w:val="en-GB"/>
        </w:rPr>
        <w:t xml:space="preserve"> Pt loading.</w:t>
      </w:r>
    </w:p>
    <w:p w14:paraId="6ED76D27" w14:textId="77777777" w:rsidR="00920101" w:rsidRPr="002E6A4A" w:rsidRDefault="00920101" w:rsidP="00920101">
      <w:pPr>
        <w:pStyle w:val="CETHeading1"/>
        <w:numPr>
          <w:ilvl w:val="0"/>
          <w:numId w:val="0"/>
        </w:numPr>
      </w:pPr>
      <w:r>
        <w:t>Acknowledgements</w:t>
      </w:r>
    </w:p>
    <w:p w14:paraId="2278DD12" w14:textId="1210CD01" w:rsidR="00920101" w:rsidRDefault="00920101" w:rsidP="0071045F">
      <w:pPr>
        <w:pStyle w:val="CETBodytext"/>
        <w:rPr>
          <w:lang w:val="en-GB"/>
        </w:rPr>
      </w:pPr>
      <w:r w:rsidRPr="0073209E">
        <w:rPr>
          <w:lang w:val="en-GB"/>
        </w:rPr>
        <w:t>The authors would like to thank King Abdulaziz City for Science and Technology in Saudi Arabia for funding the project. We also thank the UK Catalysis Hub for resources and support for Dr Asuquo via our membership of the UK Catalysis Hub Consortium and funding through EPSRC grant EP/R027129/1.</w:t>
      </w:r>
    </w:p>
    <w:p w14:paraId="11C5C8DE" w14:textId="77777777" w:rsidR="00920101" w:rsidRPr="00B8605B" w:rsidRDefault="00920101" w:rsidP="00B51A3A">
      <w:pPr>
        <w:pStyle w:val="CETHeading1"/>
        <w:numPr>
          <w:ilvl w:val="0"/>
          <w:numId w:val="0"/>
        </w:numPr>
      </w:pPr>
      <w:r w:rsidRPr="00B57B36">
        <w:t>References</w:t>
      </w:r>
    </w:p>
    <w:p w14:paraId="058D0A1F" w14:textId="1C96AB2E" w:rsidR="003969FB" w:rsidRPr="003969FB" w:rsidRDefault="003969FB" w:rsidP="00B51A3A">
      <w:pPr>
        <w:pStyle w:val="CETReferencetext"/>
      </w:pPr>
      <w:bookmarkStart w:id="1" w:name="_Hlk133542793"/>
      <w:r w:rsidRPr="003969FB">
        <w:t xml:space="preserve">Aguado J., Serrano DP., 1999, Feedstock Recycling of Plastic Wastes, The Royal Society of Chemistry Clean Technology Monographs (series editor Clark JH) Published by The Royal Society of Chemistry, </w:t>
      </w:r>
      <w:r w:rsidR="00107480">
        <w:t xml:space="preserve">Cambridge </w:t>
      </w:r>
      <w:r w:rsidRPr="003969FB">
        <w:t>pp 129 -160.</w:t>
      </w:r>
    </w:p>
    <w:p w14:paraId="696599FE" w14:textId="77777777" w:rsidR="00607807" w:rsidRPr="00B8605B" w:rsidRDefault="00607807" w:rsidP="00607807">
      <w:pPr>
        <w:pStyle w:val="CETReferencetext"/>
      </w:pPr>
      <w:proofErr w:type="spellStart"/>
      <w:r w:rsidRPr="00B8605B">
        <w:t>Akah</w:t>
      </w:r>
      <w:proofErr w:type="spellEnd"/>
      <w:r w:rsidRPr="00B8605B">
        <w:t xml:space="preserve"> A., Hernandez-Martinez J., </w:t>
      </w:r>
      <w:proofErr w:type="spellStart"/>
      <w:r w:rsidRPr="00B8605B">
        <w:t>Rallan</w:t>
      </w:r>
      <w:proofErr w:type="spellEnd"/>
      <w:r w:rsidRPr="00B8605B">
        <w:t xml:space="preserve"> C., Garforth A., 2015, Enhanced Feedstock Recycling of Post-Consumer Plastic Waste, Chemical Engineering Transactions, 43, 2395-2400</w:t>
      </w:r>
    </w:p>
    <w:p w14:paraId="223CA70B" w14:textId="135215FE" w:rsidR="00607807" w:rsidRPr="00B8605B" w:rsidRDefault="00107480" w:rsidP="00607807">
      <w:pPr>
        <w:pStyle w:val="CETReferencetext"/>
      </w:pPr>
      <w:r>
        <w:t>B</w:t>
      </w:r>
      <w:r w:rsidR="00607807" w:rsidRPr="00B8605B">
        <w:t>in Jumah A.,</w:t>
      </w:r>
      <w:r w:rsidR="00607807">
        <w:t xml:space="preserve"> </w:t>
      </w:r>
      <w:proofErr w:type="spellStart"/>
      <w:r w:rsidR="00607807" w:rsidRPr="00B8605B">
        <w:t>Tedstone</w:t>
      </w:r>
      <w:proofErr w:type="spellEnd"/>
      <w:r w:rsidR="00607807">
        <w:t xml:space="preserve"> </w:t>
      </w:r>
      <w:r w:rsidR="00607807" w:rsidRPr="00B8605B">
        <w:t>A., Garforth</w:t>
      </w:r>
      <w:r w:rsidR="00607807">
        <w:t xml:space="preserve"> </w:t>
      </w:r>
      <w:r w:rsidR="00607807" w:rsidRPr="00B8605B">
        <w:t>A., 2021</w:t>
      </w:r>
      <w:r w:rsidR="00607807">
        <w:t>,</w:t>
      </w:r>
      <w:r w:rsidR="00607807" w:rsidRPr="00B8605B">
        <w:t xml:space="preserve"> Hydrocracking of virgin and post-consumer polymers. Microporous and Mesoporous Materials, 315, 110912.</w:t>
      </w:r>
    </w:p>
    <w:p w14:paraId="3E28BA52" w14:textId="36AD388A" w:rsidR="005670B0" w:rsidRPr="00B8605B" w:rsidRDefault="005670B0" w:rsidP="00B51A3A">
      <w:pPr>
        <w:pStyle w:val="CETReferencetext"/>
      </w:pPr>
      <w:proofErr w:type="spellStart"/>
      <w:r w:rsidRPr="00B8605B">
        <w:t>Chalmin</w:t>
      </w:r>
      <w:proofErr w:type="spellEnd"/>
      <w:r w:rsidRPr="00B8605B">
        <w:t xml:space="preserve"> P., 2019, The history of plastics: from the Capitol to the Tarpeian Rock. Field actions science reports. The Journal of Field Actions, (Special Issue 19), 6-11.</w:t>
      </w:r>
    </w:p>
    <w:p w14:paraId="52922656" w14:textId="68F3047E" w:rsidR="00607807" w:rsidRPr="00B8605B" w:rsidRDefault="00107480" w:rsidP="00607807">
      <w:pPr>
        <w:pStyle w:val="CETReferencetext"/>
      </w:pPr>
      <w:r>
        <w:t>D</w:t>
      </w:r>
      <w:r w:rsidR="00607807" w:rsidRPr="00B8605B">
        <w:t xml:space="preserve">e la Puente G., Klocker C., </w:t>
      </w:r>
      <w:proofErr w:type="spellStart"/>
      <w:r w:rsidR="00607807" w:rsidRPr="00B8605B">
        <w:t>Sedran</w:t>
      </w:r>
      <w:proofErr w:type="spellEnd"/>
      <w:r w:rsidR="00607807" w:rsidRPr="00B8605B">
        <w:t xml:space="preserve"> U., 2002, Conversion of waste plastics into fuels: Recycling polyethylene in FCC. Applied Catalysis B: Environmental, 36(4), 279-285.</w:t>
      </w:r>
    </w:p>
    <w:p w14:paraId="02067588" w14:textId="77777777" w:rsidR="00607807" w:rsidRDefault="00607807" w:rsidP="00B51A3A">
      <w:pPr>
        <w:pStyle w:val="CETReferencetext"/>
      </w:pPr>
      <w:r w:rsidRPr="00B8605B">
        <w:t>Garforth A., Fiddy</w:t>
      </w:r>
      <w:r>
        <w:t xml:space="preserve"> </w:t>
      </w:r>
      <w:r w:rsidRPr="00B8605B">
        <w:t>S., Lin Y</w:t>
      </w:r>
      <w:r>
        <w:t xml:space="preserve">. </w:t>
      </w:r>
      <w:r w:rsidRPr="00B8605B">
        <w:t>H., Ghanbari-</w:t>
      </w:r>
      <w:proofErr w:type="spellStart"/>
      <w:r w:rsidRPr="00B8605B">
        <w:t>Siakhali</w:t>
      </w:r>
      <w:proofErr w:type="spellEnd"/>
      <w:r w:rsidRPr="00B8605B">
        <w:t xml:space="preserve"> A., Sharratt P</w:t>
      </w:r>
      <w:r>
        <w:t xml:space="preserve">. </w:t>
      </w:r>
      <w:r w:rsidRPr="00B8605B">
        <w:t>N.</w:t>
      </w:r>
      <w:r>
        <w:t>,</w:t>
      </w:r>
      <w:r w:rsidRPr="00B8605B">
        <w:t xml:space="preserve"> Dwyer J., 1997</w:t>
      </w:r>
      <w:r>
        <w:t>,</w:t>
      </w:r>
      <w:r w:rsidRPr="00B8605B">
        <w:t xml:space="preserve"> Catalytic degradation of </w:t>
      </w:r>
      <w:proofErr w:type="gramStart"/>
      <w:r w:rsidRPr="00B8605B">
        <w:t>high density</w:t>
      </w:r>
      <w:proofErr w:type="gramEnd"/>
      <w:r w:rsidRPr="00B8605B">
        <w:t xml:space="preserve"> polyethylene: an evaluation of mesoporous and microporous catalysts using thermal analysis. </w:t>
      </w:r>
      <w:proofErr w:type="spellStart"/>
      <w:r w:rsidRPr="00B8605B">
        <w:t>Thermochimica</w:t>
      </w:r>
      <w:proofErr w:type="spellEnd"/>
      <w:r w:rsidRPr="00B8605B">
        <w:t xml:space="preserve"> Acta, 294(1), 65-69.</w:t>
      </w:r>
    </w:p>
    <w:p w14:paraId="6F932EF8" w14:textId="77777777" w:rsidR="00607807" w:rsidRPr="001C3493" w:rsidRDefault="00607807" w:rsidP="00607807">
      <w:pPr>
        <w:pStyle w:val="CETReferencetext"/>
      </w:pPr>
      <w:r w:rsidRPr="001C3493">
        <w:t>Huang C., Li A.</w:t>
      </w:r>
      <w:r>
        <w:t>,</w:t>
      </w:r>
      <w:r w:rsidRPr="001C3493">
        <w:t xml:space="preserve"> Chao Z</w:t>
      </w:r>
      <w:r>
        <w:t xml:space="preserve">. </w:t>
      </w:r>
      <w:r w:rsidRPr="001C3493">
        <w:t>S., 2017</w:t>
      </w:r>
      <w:r>
        <w:t>,</w:t>
      </w:r>
      <w:r w:rsidRPr="001C3493">
        <w:t xml:space="preserve"> Heterogeneous catalytic synthesis of quinoline compounds from aniline and C 1–C 4 alcohols over zeolite-based catalysts. RSC </w:t>
      </w:r>
      <w:r w:rsidRPr="003969FB">
        <w:t>Advances</w:t>
      </w:r>
      <w:r w:rsidRPr="001C3493">
        <w:t>, 7(76), 48275-48285.</w:t>
      </w:r>
    </w:p>
    <w:p w14:paraId="7FCFB665" w14:textId="77777777" w:rsidR="00607807" w:rsidRPr="00B8605B" w:rsidRDefault="00607807" w:rsidP="00607807">
      <w:pPr>
        <w:pStyle w:val="CETReferencetext"/>
      </w:pPr>
      <w:r w:rsidRPr="00B8605B">
        <w:t>Jung M</w:t>
      </w:r>
      <w:r>
        <w:t xml:space="preserve">. </w:t>
      </w:r>
      <w:r w:rsidRPr="00B8605B">
        <w:t>R., Horgen F</w:t>
      </w:r>
      <w:r>
        <w:t xml:space="preserve">. </w:t>
      </w:r>
      <w:r w:rsidRPr="00B8605B">
        <w:t xml:space="preserve">D., </w:t>
      </w:r>
      <w:proofErr w:type="spellStart"/>
      <w:r w:rsidRPr="00B8605B">
        <w:t>Orski</w:t>
      </w:r>
      <w:proofErr w:type="spellEnd"/>
      <w:r w:rsidRPr="00B8605B">
        <w:t xml:space="preserve"> S</w:t>
      </w:r>
      <w:r>
        <w:t xml:space="preserve">. </w:t>
      </w:r>
      <w:r w:rsidRPr="00B8605B">
        <w:t>V., Rodriguez V., Beers K</w:t>
      </w:r>
      <w:r>
        <w:t xml:space="preserve">. </w:t>
      </w:r>
      <w:r w:rsidRPr="00B8605B">
        <w:t>L., Balazs G</w:t>
      </w:r>
      <w:r>
        <w:t xml:space="preserve">. </w:t>
      </w:r>
      <w:r w:rsidRPr="00B8605B">
        <w:t>H., Jones T</w:t>
      </w:r>
      <w:r>
        <w:t xml:space="preserve">. </w:t>
      </w:r>
      <w:r w:rsidRPr="00B8605B">
        <w:t>T., Work T</w:t>
      </w:r>
      <w:r>
        <w:t xml:space="preserve">. </w:t>
      </w:r>
      <w:r w:rsidRPr="00B8605B">
        <w:t>M., Brignac K</w:t>
      </w:r>
      <w:r>
        <w:t xml:space="preserve">. </w:t>
      </w:r>
      <w:r w:rsidRPr="00B8605B">
        <w:t>C., Royer S</w:t>
      </w:r>
      <w:r>
        <w:t xml:space="preserve">. </w:t>
      </w:r>
      <w:r w:rsidRPr="00B8605B">
        <w:t>J.</w:t>
      </w:r>
      <w:r>
        <w:t>,</w:t>
      </w:r>
      <w:r w:rsidRPr="00B8605B">
        <w:t xml:space="preserve"> </w:t>
      </w:r>
      <w:proofErr w:type="spellStart"/>
      <w:r w:rsidRPr="00B8605B">
        <w:t>Hyrenbach</w:t>
      </w:r>
      <w:proofErr w:type="spellEnd"/>
      <w:r w:rsidRPr="00B8605B">
        <w:t xml:space="preserve"> K</w:t>
      </w:r>
      <w:r>
        <w:t xml:space="preserve">. </w:t>
      </w:r>
      <w:r w:rsidRPr="00B8605B">
        <w:t>D., 2018</w:t>
      </w:r>
      <w:r>
        <w:t>,</w:t>
      </w:r>
      <w:r w:rsidRPr="00B8605B">
        <w:t xml:space="preserve"> Validation of ATR FT-IR to identify polymers of plastic marine debris, including those ingested by marine organisms. Mari</w:t>
      </w:r>
      <w:r w:rsidRPr="003969FB">
        <w:t>ne Pollution Bul</w:t>
      </w:r>
      <w:r w:rsidRPr="00B8605B">
        <w:t>letin, 127, 704-716.</w:t>
      </w:r>
    </w:p>
    <w:p w14:paraId="1E072D07" w14:textId="77777777" w:rsidR="00607807" w:rsidRPr="00B8605B" w:rsidRDefault="00607807" w:rsidP="00607807">
      <w:pPr>
        <w:pStyle w:val="CETReferencetext"/>
      </w:pPr>
      <w:r w:rsidRPr="00B8605B">
        <w:t>Kaminsky W.</w:t>
      </w:r>
      <w:r>
        <w:t xml:space="preserve">, </w:t>
      </w:r>
      <w:proofErr w:type="spellStart"/>
      <w:r w:rsidRPr="00B8605B">
        <w:t>Zorriqueta</w:t>
      </w:r>
      <w:proofErr w:type="spellEnd"/>
      <w:r w:rsidRPr="00B8605B">
        <w:t xml:space="preserve"> I</w:t>
      </w:r>
      <w:r>
        <w:t xml:space="preserve">. </w:t>
      </w:r>
      <w:r w:rsidRPr="00B8605B">
        <w:t>J</w:t>
      </w:r>
      <w:r>
        <w:t xml:space="preserve">. </w:t>
      </w:r>
      <w:r w:rsidRPr="00B8605B">
        <w:t>N., 2007</w:t>
      </w:r>
      <w:r>
        <w:t>,</w:t>
      </w:r>
      <w:r w:rsidRPr="00B8605B">
        <w:t xml:space="preserve"> Catalytic and thermal pyrolysis of polyolefins. Journal of Analytical and Applied Pyrolysis, 79(1-2), 368-374.</w:t>
      </w:r>
    </w:p>
    <w:p w14:paraId="6F8F6225" w14:textId="77777777" w:rsidR="00607807" w:rsidRPr="00B8605B" w:rsidRDefault="00607807" w:rsidP="00607807">
      <w:pPr>
        <w:pStyle w:val="CETReferencetext"/>
      </w:pPr>
      <w:r w:rsidRPr="00B8605B">
        <w:t>Prata J</w:t>
      </w:r>
      <w:r>
        <w:t xml:space="preserve">. </w:t>
      </w:r>
      <w:r w:rsidRPr="00B8605B">
        <w:t>C., Silva A</w:t>
      </w:r>
      <w:r>
        <w:t xml:space="preserve">. </w:t>
      </w:r>
      <w:r w:rsidRPr="00B8605B">
        <w:t>L., Walker T</w:t>
      </w:r>
      <w:r>
        <w:t xml:space="preserve">. </w:t>
      </w:r>
      <w:r w:rsidRPr="00B8605B">
        <w:t>R., Duarte A</w:t>
      </w:r>
      <w:r>
        <w:t xml:space="preserve">. </w:t>
      </w:r>
      <w:r w:rsidRPr="00B8605B">
        <w:t>C.</w:t>
      </w:r>
      <w:r>
        <w:t xml:space="preserve">, </w:t>
      </w:r>
      <w:r w:rsidRPr="00B8605B">
        <w:t>Rocha-Santos T., 2020</w:t>
      </w:r>
      <w:r>
        <w:t>,</w:t>
      </w:r>
      <w:r w:rsidRPr="00B8605B">
        <w:t xml:space="preserve"> COVID-19 pandemic repercussions on the use and management of plastics. Environmenta</w:t>
      </w:r>
      <w:r w:rsidRPr="003969FB">
        <w:t>l Science &amp; Technol</w:t>
      </w:r>
      <w:r w:rsidRPr="00B8605B">
        <w:t>ogy, 54(13), 7760-7765.</w:t>
      </w:r>
    </w:p>
    <w:p w14:paraId="4E772698" w14:textId="792E5882" w:rsidR="00053EEE" w:rsidRPr="00B8605B" w:rsidRDefault="00053EEE" w:rsidP="00B51A3A">
      <w:pPr>
        <w:pStyle w:val="CETReferencetext"/>
      </w:pPr>
      <w:r w:rsidRPr="00B8605B">
        <w:t>Rizan C., Reed M.</w:t>
      </w:r>
      <w:r w:rsidR="00FA660A">
        <w:t>,</w:t>
      </w:r>
      <w:r w:rsidRPr="00B8605B">
        <w:t xml:space="preserve"> Bhutta M</w:t>
      </w:r>
      <w:r w:rsidR="0006720B">
        <w:t>.</w:t>
      </w:r>
      <w:r w:rsidR="00EE2FE9">
        <w:t xml:space="preserve"> </w:t>
      </w:r>
      <w:r w:rsidRPr="00B8605B">
        <w:t>F., 2021</w:t>
      </w:r>
      <w:r w:rsidR="00EE2FE9">
        <w:t>,</w:t>
      </w:r>
      <w:r w:rsidRPr="00B8605B">
        <w:t xml:space="preserve"> Environmental impact of personal protective equipment distributed for use by health and social care services in England in the first six months of the COVID-19 pandemic. Journal of the Royal Society of Medicine, 114(5), 250-263.</w:t>
      </w:r>
    </w:p>
    <w:p w14:paraId="414FA9D3" w14:textId="77777777" w:rsidR="00607807" w:rsidRPr="00B8605B" w:rsidRDefault="00607807" w:rsidP="00607807">
      <w:pPr>
        <w:pStyle w:val="CETReferencetext"/>
      </w:pPr>
      <w:r w:rsidRPr="00B8605B">
        <w:t>Rollinson A</w:t>
      </w:r>
      <w:r>
        <w:t>.</w:t>
      </w:r>
      <w:r w:rsidRPr="00B8605B">
        <w:t xml:space="preserve"> N.,</w:t>
      </w:r>
      <w:r>
        <w:t xml:space="preserve"> </w:t>
      </w:r>
      <w:r w:rsidRPr="00B8605B">
        <w:t>Oladejo J</w:t>
      </w:r>
      <w:r>
        <w:t>.</w:t>
      </w:r>
      <w:r w:rsidRPr="00B8605B">
        <w:t xml:space="preserve"> M., 2019</w:t>
      </w:r>
      <w:r>
        <w:t>,</w:t>
      </w:r>
      <w:r w:rsidRPr="00B8605B">
        <w:t xml:space="preserve"> ‘Patented blunderings’, efficiency awareness, and self-sustainability claims in the pyrolysis energy from waste sector.</w:t>
      </w:r>
      <w:r>
        <w:t xml:space="preserve"> </w:t>
      </w:r>
      <w:r w:rsidRPr="00B8605B">
        <w:t>Resources, Conservation and Recycling</w:t>
      </w:r>
      <w:r w:rsidRPr="00D36847">
        <w:rPr>
          <w:color w:val="FF0000"/>
        </w:rPr>
        <w:t>,</w:t>
      </w:r>
      <w:r w:rsidRPr="00B8605B">
        <w:t xml:space="preserve"> 141</w:t>
      </w:r>
      <w:r>
        <w:t>,</w:t>
      </w:r>
      <w:r w:rsidRPr="00B8605B">
        <w:t xml:space="preserve"> 233-242.</w:t>
      </w:r>
    </w:p>
    <w:p w14:paraId="01E8DCC9" w14:textId="2832E536" w:rsidR="00920101" w:rsidRPr="00B8605B" w:rsidRDefault="00023A98" w:rsidP="00607807">
      <w:pPr>
        <w:pStyle w:val="CETReferencetext"/>
      </w:pPr>
      <w:proofErr w:type="spellStart"/>
      <w:r w:rsidRPr="00B8605B">
        <w:t>Sharuddin</w:t>
      </w:r>
      <w:proofErr w:type="spellEnd"/>
      <w:r w:rsidRPr="00B8605B">
        <w:t xml:space="preserve"> S</w:t>
      </w:r>
      <w:r w:rsidR="0006720B">
        <w:t>.</w:t>
      </w:r>
      <w:r w:rsidRPr="00B8605B">
        <w:t>D</w:t>
      </w:r>
      <w:r w:rsidR="0006720B">
        <w:t>.</w:t>
      </w:r>
      <w:r w:rsidRPr="00B8605B">
        <w:t xml:space="preserve">A., </w:t>
      </w:r>
      <w:proofErr w:type="spellStart"/>
      <w:r w:rsidRPr="00B8605B">
        <w:t>Abnisa</w:t>
      </w:r>
      <w:proofErr w:type="spellEnd"/>
      <w:r w:rsidRPr="00B8605B">
        <w:t xml:space="preserve"> F., Daud W</w:t>
      </w:r>
      <w:r w:rsidR="0006720B">
        <w:t>.</w:t>
      </w:r>
      <w:r w:rsidRPr="00B8605B">
        <w:t>M</w:t>
      </w:r>
      <w:r w:rsidR="0006720B">
        <w:t>.</w:t>
      </w:r>
      <w:r w:rsidRPr="00B8605B">
        <w:t>A</w:t>
      </w:r>
      <w:r w:rsidR="0006720B">
        <w:t>.</w:t>
      </w:r>
      <w:r w:rsidRPr="00B8605B">
        <w:t>W.</w:t>
      </w:r>
      <w:r w:rsidR="00FA660A">
        <w:t xml:space="preserve">, </w:t>
      </w:r>
      <w:proofErr w:type="spellStart"/>
      <w:r w:rsidR="0006720B" w:rsidRPr="00B8605B">
        <w:t>Aroua</w:t>
      </w:r>
      <w:proofErr w:type="spellEnd"/>
      <w:r w:rsidR="0006720B">
        <w:t xml:space="preserve"> </w:t>
      </w:r>
      <w:r w:rsidR="0006720B" w:rsidRPr="00B8605B">
        <w:t>M.K.</w:t>
      </w:r>
      <w:r w:rsidRPr="00B8605B">
        <w:t>, 2016</w:t>
      </w:r>
      <w:r w:rsidR="00EE2FE9">
        <w:t>,</w:t>
      </w:r>
      <w:r w:rsidRPr="00B8605B">
        <w:t xml:space="preserve"> A review on pyrolysis of plastic wastes. Energy </w:t>
      </w:r>
      <w:r w:rsidR="003C531B" w:rsidRPr="003969FB">
        <w:t>C</w:t>
      </w:r>
      <w:r w:rsidRPr="003969FB">
        <w:t xml:space="preserve">onversion and </w:t>
      </w:r>
      <w:r w:rsidR="003C531B" w:rsidRPr="003969FB">
        <w:t>M</w:t>
      </w:r>
      <w:r w:rsidRPr="003969FB">
        <w:t>a</w:t>
      </w:r>
      <w:r w:rsidRPr="00B8605B">
        <w:t>nagement, 115, 308-326.</w:t>
      </w:r>
      <w:r w:rsidR="00920101" w:rsidRPr="00B8605B">
        <w:fldChar w:fldCharType="begin"/>
      </w:r>
      <w:r w:rsidR="00920101" w:rsidRPr="00B8605B">
        <w:instrText xml:space="preserve"> ADDIN EN.REFLIST </w:instrText>
      </w:r>
      <w:r w:rsidR="00920101" w:rsidRPr="00B8605B">
        <w:fldChar w:fldCharType="separate"/>
      </w:r>
    </w:p>
    <w:p w14:paraId="2347259A" w14:textId="74E81EB8" w:rsidR="00023A98" w:rsidRPr="00B8605B" w:rsidRDefault="00023A98" w:rsidP="00B51A3A">
      <w:pPr>
        <w:pStyle w:val="CETReferencetext"/>
      </w:pPr>
      <w:r w:rsidRPr="00B8605B">
        <w:t>Vijayakumar S.</w:t>
      </w:r>
      <w:r w:rsidR="00FA660A">
        <w:t>,</w:t>
      </w:r>
      <w:r w:rsidRPr="00B8605B">
        <w:t xml:space="preserve"> Rajakumar P</w:t>
      </w:r>
      <w:r w:rsidR="0006720B">
        <w:t>.</w:t>
      </w:r>
      <w:r w:rsidR="00632A83">
        <w:t xml:space="preserve"> </w:t>
      </w:r>
      <w:r w:rsidRPr="00B8605B">
        <w:t>R., 2012</w:t>
      </w:r>
      <w:r w:rsidR="00632A83">
        <w:t xml:space="preserve">, </w:t>
      </w:r>
      <w:r w:rsidRPr="00B8605B">
        <w:t>Infrared spectral analysis of waste pet samples. International Letters of Chemistry, Physics and Astronomy, 4, 58-65.</w:t>
      </w:r>
    </w:p>
    <w:p w14:paraId="41EE4497" w14:textId="41BE0E2C" w:rsidR="003969FB" w:rsidRPr="00B8605B" w:rsidRDefault="00920101" w:rsidP="00607807">
      <w:pPr>
        <w:pStyle w:val="CETReferencetext"/>
      </w:pPr>
      <w:r w:rsidRPr="00B8605B">
        <w:t>Yuan X., Kumar N</w:t>
      </w:r>
      <w:r w:rsidR="0006720B">
        <w:t>.</w:t>
      </w:r>
      <w:r w:rsidR="00632A83">
        <w:t xml:space="preserve"> </w:t>
      </w:r>
      <w:r w:rsidRPr="00B8605B">
        <w:t>M., Brigljević B., Li S., Deng S., Byun M., Lee B., Lin C</w:t>
      </w:r>
      <w:r w:rsidR="0006720B">
        <w:t>.</w:t>
      </w:r>
      <w:r w:rsidR="00632A83">
        <w:t xml:space="preserve"> </w:t>
      </w:r>
      <w:r w:rsidRPr="00B8605B">
        <w:t>S</w:t>
      </w:r>
      <w:r w:rsidR="0006720B">
        <w:t>.</w:t>
      </w:r>
      <w:r w:rsidR="00632A83">
        <w:t xml:space="preserve"> </w:t>
      </w:r>
      <w:r w:rsidRPr="00B8605B">
        <w:t>K., Tsang D</w:t>
      </w:r>
      <w:r w:rsidR="0006720B">
        <w:t>.</w:t>
      </w:r>
      <w:r w:rsidR="00632A83">
        <w:t xml:space="preserve"> </w:t>
      </w:r>
      <w:r w:rsidRPr="00B8605B">
        <w:t>C., Lee K</w:t>
      </w:r>
      <w:r w:rsidR="0006720B">
        <w:t>.</w:t>
      </w:r>
      <w:r w:rsidR="00632A83">
        <w:t xml:space="preserve"> </w:t>
      </w:r>
      <w:r w:rsidRPr="00B8605B">
        <w:t>B.</w:t>
      </w:r>
      <w:r w:rsidR="00FA660A">
        <w:t>,</w:t>
      </w:r>
      <w:r w:rsidRPr="00B8605B">
        <w:t xml:space="preserve"> Chopra S</w:t>
      </w:r>
      <w:r w:rsidR="0006720B">
        <w:t>.</w:t>
      </w:r>
      <w:r w:rsidR="00632A83">
        <w:t xml:space="preserve"> </w:t>
      </w:r>
      <w:r w:rsidRPr="00B8605B">
        <w:t>S., 2022</w:t>
      </w:r>
      <w:r w:rsidR="00632A83">
        <w:t>,</w:t>
      </w:r>
      <w:r w:rsidRPr="00B8605B">
        <w:t xml:space="preserve"> Sustainability-inspired upcycling of waste polyethylene terephthalate plastic into porous carbon for CO</w:t>
      </w:r>
      <w:r w:rsidRPr="00C66283">
        <w:rPr>
          <w:vertAlign w:val="subscript"/>
        </w:rPr>
        <w:t>2</w:t>
      </w:r>
      <w:r w:rsidRPr="00B8605B">
        <w:t xml:space="preserve"> capture. Green Chemistry, 24(4),</w:t>
      </w:r>
      <w:r w:rsidR="003969FB">
        <w:t xml:space="preserve"> </w:t>
      </w:r>
      <w:r w:rsidRPr="00B8605B">
        <w:t>1494-1504.</w:t>
      </w:r>
      <w:r w:rsidRPr="00B8605B">
        <w:fldChar w:fldCharType="end"/>
      </w:r>
      <w:bookmarkEnd w:id="1"/>
    </w:p>
    <w:sectPr w:rsidR="003969FB" w:rsidRPr="00B8605B" w:rsidSect="00905DC6">
      <w:pgSz w:w="11906" w:h="16838" w:code="9"/>
      <w:pgMar w:top="1418" w:right="1418" w:bottom="1418" w:left="1418" w:header="1701" w:footer="0" w:gutter="0"/>
      <w:cols w:space="708"/>
      <w:formProt w:val="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P6960">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605D2"/>
    <w:multiLevelType w:val="hybridMultilevel"/>
    <w:tmpl w:val="C6B6E6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38217E"/>
    <w:multiLevelType w:val="multilevel"/>
    <w:tmpl w:val="24122C4E"/>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lang w:val="en-US"/>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 w15:restartNumberingAfterBreak="0">
    <w:nsid w:val="6C6105C3"/>
    <w:multiLevelType w:val="hybridMultilevel"/>
    <w:tmpl w:val="300A74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0240659">
    <w:abstractNumId w:val="1"/>
  </w:num>
  <w:num w:numId="2" w16cid:durableId="1443725096">
    <w:abstractNumId w:val="0"/>
  </w:num>
  <w:num w:numId="3" w16cid:durableId="172840699">
    <w:abstractNumId w:val="2"/>
  </w:num>
  <w:num w:numId="4" w16cid:durableId="1906073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101"/>
    <w:rsid w:val="00023A98"/>
    <w:rsid w:val="00053EEE"/>
    <w:rsid w:val="0006720B"/>
    <w:rsid w:val="00084945"/>
    <w:rsid w:val="000C604B"/>
    <w:rsid w:val="00107480"/>
    <w:rsid w:val="001C3493"/>
    <w:rsid w:val="001E1AD6"/>
    <w:rsid w:val="00215B5C"/>
    <w:rsid w:val="002E3DB7"/>
    <w:rsid w:val="003969FB"/>
    <w:rsid w:val="003C531B"/>
    <w:rsid w:val="00553363"/>
    <w:rsid w:val="005670B0"/>
    <w:rsid w:val="005D47C0"/>
    <w:rsid w:val="00607807"/>
    <w:rsid w:val="00632A83"/>
    <w:rsid w:val="006439CF"/>
    <w:rsid w:val="0071045F"/>
    <w:rsid w:val="00732633"/>
    <w:rsid w:val="008C25C1"/>
    <w:rsid w:val="00920101"/>
    <w:rsid w:val="00B51A3A"/>
    <w:rsid w:val="00B8605B"/>
    <w:rsid w:val="00C66283"/>
    <w:rsid w:val="00D36847"/>
    <w:rsid w:val="00ED50AA"/>
    <w:rsid w:val="00EE2FE9"/>
    <w:rsid w:val="00FA660A"/>
    <w:rsid w:val="00FE59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131A4"/>
  <w15:chartTrackingRefBased/>
  <w15:docId w15:val="{73D8F3BB-6CAA-4C29-9205-D834F34F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101"/>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920101"/>
    <w:pPr>
      <w:keepNext/>
      <w:suppressAutoHyphens/>
      <w:spacing w:after="120"/>
    </w:pPr>
    <w:rPr>
      <w:noProof/>
      <w:sz w:val="24"/>
      <w:lang w:val="en-GB"/>
    </w:rPr>
  </w:style>
  <w:style w:type="paragraph" w:customStyle="1" w:styleId="CETTitle">
    <w:name w:val="CET Title"/>
    <w:next w:val="CETAuthors"/>
    <w:link w:val="CETTitleCarattere"/>
    <w:rsid w:val="00920101"/>
    <w:pPr>
      <w:suppressAutoHyphens/>
      <w:spacing w:before="480" w:after="120" w:line="264" w:lineRule="auto"/>
      <w:jc w:val="center"/>
      <w:outlineLvl w:val="0"/>
    </w:pPr>
    <w:rPr>
      <w:rFonts w:ascii="Arial" w:eastAsia="Times New Roman" w:hAnsi="Arial" w:cs="Times New Roman"/>
      <w:kern w:val="0"/>
      <w:sz w:val="32"/>
      <w:szCs w:val="20"/>
      <w14:ligatures w14:val="none"/>
    </w:rPr>
  </w:style>
  <w:style w:type="character" w:customStyle="1" w:styleId="CETAuthorsCarattere">
    <w:name w:val="CET Authors Carattere"/>
    <w:link w:val="CETAuthors"/>
    <w:rsid w:val="00920101"/>
    <w:rPr>
      <w:rFonts w:ascii="Arial" w:eastAsia="Times New Roman" w:hAnsi="Arial" w:cs="Times New Roman"/>
      <w:noProof/>
      <w:kern w:val="0"/>
      <w:sz w:val="24"/>
      <w:szCs w:val="20"/>
      <w14:ligatures w14:val="none"/>
    </w:rPr>
  </w:style>
  <w:style w:type="character" w:customStyle="1" w:styleId="CETTitleCarattere">
    <w:name w:val="CET Title Carattere"/>
    <w:link w:val="CETTitle"/>
    <w:rsid w:val="00920101"/>
    <w:rPr>
      <w:rFonts w:ascii="Arial" w:eastAsia="Times New Roman" w:hAnsi="Arial" w:cs="Times New Roman"/>
      <w:kern w:val="0"/>
      <w:sz w:val="32"/>
      <w:szCs w:val="20"/>
      <w14:ligatures w14:val="none"/>
    </w:rPr>
  </w:style>
  <w:style w:type="paragraph" w:customStyle="1" w:styleId="CETHeading1">
    <w:name w:val="CET Heading1"/>
    <w:next w:val="CETBodytext"/>
    <w:qFormat/>
    <w:rsid w:val="00920101"/>
    <w:pPr>
      <w:keepNext/>
      <w:numPr>
        <w:ilvl w:val="1"/>
        <w:numId w:val="1"/>
      </w:numPr>
      <w:suppressAutoHyphens/>
      <w:spacing w:before="240" w:after="120" w:line="240" w:lineRule="auto"/>
    </w:pPr>
    <w:rPr>
      <w:rFonts w:ascii="Arial" w:eastAsia="Times New Roman" w:hAnsi="Arial" w:cs="Times New Roman"/>
      <w:b/>
      <w:kern w:val="0"/>
      <w:sz w:val="20"/>
      <w:szCs w:val="20"/>
      <w:lang w:val="en-US"/>
      <w14:ligatures w14:val="none"/>
    </w:rPr>
  </w:style>
  <w:style w:type="paragraph" w:customStyle="1" w:styleId="CETBodytext">
    <w:name w:val="CET Body text"/>
    <w:link w:val="CETBodytextCarattere"/>
    <w:qFormat/>
    <w:rsid w:val="00920101"/>
    <w:pPr>
      <w:tabs>
        <w:tab w:val="right" w:pos="7100"/>
      </w:tabs>
      <w:spacing w:after="0" w:line="264" w:lineRule="auto"/>
      <w:jc w:val="both"/>
    </w:pPr>
    <w:rPr>
      <w:rFonts w:ascii="Arial" w:eastAsia="Times New Roman" w:hAnsi="Arial" w:cs="Times New Roman"/>
      <w:kern w:val="0"/>
      <w:sz w:val="18"/>
      <w:szCs w:val="20"/>
      <w:lang w:val="en-US"/>
      <w14:ligatures w14:val="none"/>
    </w:rPr>
  </w:style>
  <w:style w:type="paragraph" w:customStyle="1" w:styleId="CETheadingx">
    <w:name w:val="CET headingx"/>
    <w:next w:val="CETBodytext"/>
    <w:link w:val="CETheadingxCarattere"/>
    <w:autoRedefine/>
    <w:qFormat/>
    <w:rsid w:val="00920101"/>
    <w:pPr>
      <w:keepNext/>
      <w:numPr>
        <w:ilvl w:val="2"/>
        <w:numId w:val="1"/>
      </w:numPr>
      <w:suppressAutoHyphens/>
      <w:spacing w:before="120" w:after="120" w:line="240" w:lineRule="auto"/>
    </w:pPr>
    <w:rPr>
      <w:rFonts w:ascii="Arial" w:eastAsia="Times New Roman" w:hAnsi="Arial" w:cs="Times New Roman"/>
      <w:b/>
      <w:color w:val="000000" w:themeColor="text1"/>
      <w:kern w:val="0"/>
      <w:sz w:val="18"/>
      <w:szCs w:val="20"/>
      <w:lang w:val="en-US"/>
      <w14:ligatures w14:val="none"/>
    </w:rPr>
  </w:style>
  <w:style w:type="paragraph" w:customStyle="1" w:styleId="CETAddress">
    <w:name w:val="CET Address"/>
    <w:link w:val="CETAddressCarattere"/>
    <w:qFormat/>
    <w:rsid w:val="00920101"/>
    <w:pPr>
      <w:keepNext/>
      <w:suppressAutoHyphens/>
      <w:spacing w:after="0" w:line="276" w:lineRule="auto"/>
      <w:contextualSpacing/>
    </w:pPr>
    <w:rPr>
      <w:rFonts w:ascii="Arial" w:eastAsia="Times New Roman" w:hAnsi="Arial" w:cs="Times New Roman"/>
      <w:noProof/>
      <w:kern w:val="0"/>
      <w:sz w:val="16"/>
      <w:szCs w:val="20"/>
      <w14:ligatures w14:val="none"/>
    </w:rPr>
  </w:style>
  <w:style w:type="table" w:styleId="TableSimple1">
    <w:name w:val="Table Simple 1"/>
    <w:basedOn w:val="TableNormal"/>
    <w:semiHidden/>
    <w:rsid w:val="00920101"/>
    <w:pPr>
      <w:numPr>
        <w:ilvl w:val="3"/>
        <w:numId w:val="1"/>
      </w:numPr>
      <w:spacing w:after="0" w:line="264" w:lineRule="auto"/>
      <w:jc w:val="both"/>
    </w:pPr>
    <w:rPr>
      <w:rFonts w:ascii="Times New Roman" w:eastAsia="Times New Roman" w:hAnsi="Times New Roman" w:cs="Times New Roman"/>
      <w:kern w:val="0"/>
      <w:sz w:val="20"/>
      <w:szCs w:val="20"/>
      <w:lang w:val="it-IT" w:eastAsia="it-IT"/>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920101"/>
    <w:rPr>
      <w:rFonts w:ascii="Arial" w:eastAsia="Times New Roman" w:hAnsi="Arial" w:cs="Times New Roman"/>
      <w:kern w:val="0"/>
      <w:sz w:val="18"/>
      <w:szCs w:val="20"/>
      <w:lang w:val="en-US"/>
      <w14:ligatures w14:val="none"/>
    </w:rPr>
  </w:style>
  <w:style w:type="character" w:customStyle="1" w:styleId="CETheadingxCarattere">
    <w:name w:val="CET headingx Carattere"/>
    <w:link w:val="CETheadingx"/>
    <w:rsid w:val="00920101"/>
    <w:rPr>
      <w:rFonts w:ascii="Arial" w:eastAsia="Times New Roman" w:hAnsi="Arial" w:cs="Times New Roman"/>
      <w:b/>
      <w:color w:val="000000" w:themeColor="text1"/>
      <w:kern w:val="0"/>
      <w:sz w:val="18"/>
      <w:szCs w:val="20"/>
      <w:lang w:val="en-US"/>
      <w14:ligatures w14:val="none"/>
    </w:rPr>
  </w:style>
  <w:style w:type="paragraph" w:customStyle="1" w:styleId="CETemail">
    <w:name w:val="CET email"/>
    <w:next w:val="CETBodytext"/>
    <w:rsid w:val="00920101"/>
    <w:pPr>
      <w:spacing w:after="240" w:line="276" w:lineRule="auto"/>
    </w:pPr>
    <w:rPr>
      <w:rFonts w:ascii="Arial" w:eastAsia="Times New Roman" w:hAnsi="Arial" w:cs="Times New Roman"/>
      <w:noProof/>
      <w:kern w:val="0"/>
      <w:sz w:val="16"/>
      <w:szCs w:val="20"/>
      <w14:ligatures w14:val="none"/>
    </w:rPr>
  </w:style>
  <w:style w:type="character" w:customStyle="1" w:styleId="CETAddressCarattere">
    <w:name w:val="CET Address Carattere"/>
    <w:basedOn w:val="DefaultParagraphFont"/>
    <w:link w:val="CETAddress"/>
    <w:rsid w:val="00920101"/>
    <w:rPr>
      <w:rFonts w:ascii="Arial" w:eastAsia="Times New Roman" w:hAnsi="Arial" w:cs="Times New Roman"/>
      <w:noProof/>
      <w:kern w:val="0"/>
      <w:sz w:val="16"/>
      <w:szCs w:val="20"/>
      <w14:ligatures w14:val="none"/>
    </w:rPr>
  </w:style>
  <w:style w:type="paragraph" w:customStyle="1" w:styleId="CETTabletitle">
    <w:name w:val="CET Table title"/>
    <w:qFormat/>
    <w:rsid w:val="00920101"/>
    <w:pPr>
      <w:keepNext/>
      <w:spacing w:before="240" w:after="80" w:line="240" w:lineRule="exact"/>
    </w:pPr>
    <w:rPr>
      <w:rFonts w:ascii="Arial" w:eastAsia="Times New Roman" w:hAnsi="Arial" w:cs="Times New Roman"/>
      <w:i/>
      <w:kern w:val="0"/>
      <w:sz w:val="18"/>
      <w:szCs w:val="20"/>
      <w14:ligatures w14:val="none"/>
    </w:rPr>
  </w:style>
  <w:style w:type="paragraph" w:customStyle="1" w:styleId="CETReferencetext">
    <w:name w:val="CET Reference text"/>
    <w:qFormat/>
    <w:rsid w:val="00920101"/>
    <w:pPr>
      <w:spacing w:after="0" w:line="264" w:lineRule="auto"/>
      <w:ind w:left="284" w:hanging="284"/>
      <w:jc w:val="both"/>
    </w:pPr>
    <w:rPr>
      <w:rFonts w:ascii="Arial" w:eastAsia="Times New Roman" w:hAnsi="Arial" w:cs="Times New Roman"/>
      <w:kern w:val="0"/>
      <w:sz w:val="18"/>
      <w:szCs w:val="20"/>
      <w14:ligatures w14:val="none"/>
    </w:rPr>
  </w:style>
  <w:style w:type="paragraph" w:customStyle="1" w:styleId="CETEquation">
    <w:name w:val="CET Equation"/>
    <w:basedOn w:val="CETBodytext"/>
    <w:next w:val="CETBodytext"/>
    <w:qFormat/>
    <w:rsid w:val="00920101"/>
    <w:pPr>
      <w:spacing w:before="120" w:after="120"/>
      <w:jc w:val="left"/>
    </w:pPr>
    <w:rPr>
      <w:lang w:val="en-GB"/>
    </w:rPr>
  </w:style>
  <w:style w:type="paragraph" w:customStyle="1" w:styleId="CETCaption">
    <w:name w:val="CET Caption"/>
    <w:link w:val="CETCaptionCarattere"/>
    <w:qFormat/>
    <w:rsid w:val="00920101"/>
    <w:pPr>
      <w:spacing w:before="240" w:after="240" w:line="264" w:lineRule="auto"/>
      <w:jc w:val="both"/>
    </w:pPr>
    <w:rPr>
      <w:rFonts w:ascii="Arial" w:eastAsia="Times New Roman" w:hAnsi="Arial" w:cs="Times New Roman"/>
      <w:i/>
      <w:kern w:val="0"/>
      <w:sz w:val="18"/>
      <w:szCs w:val="20"/>
      <w14:ligatures w14:val="none"/>
    </w:rPr>
  </w:style>
  <w:style w:type="character" w:customStyle="1" w:styleId="CETCaptionCarattere">
    <w:name w:val="CET Caption Carattere"/>
    <w:link w:val="CETCaption"/>
    <w:rsid w:val="00920101"/>
    <w:rPr>
      <w:rFonts w:ascii="Arial" w:eastAsia="Times New Roman" w:hAnsi="Arial" w:cs="Times New Roman"/>
      <w:i/>
      <w:kern w:val="0"/>
      <w:sz w:val="18"/>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5445</Words>
  <Characters>31042</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Nasser Alqahtani</dc:creator>
  <cp:keywords/>
  <dc:description/>
  <cp:lastModifiedBy>Nasser Alqahtani</cp:lastModifiedBy>
  <cp:revision>2</cp:revision>
  <dcterms:created xsi:type="dcterms:W3CDTF">2023-04-28T11:41:00Z</dcterms:created>
  <dcterms:modified xsi:type="dcterms:W3CDTF">2023-04-28T11:41:00Z</dcterms:modified>
</cp:coreProperties>
</file>